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66" w:type="dxa"/>
        <w:tblLook w:val="04A0" w:firstRow="1" w:lastRow="0" w:firstColumn="1" w:lastColumn="0" w:noHBand="0" w:noVBand="1"/>
      </w:tblPr>
      <w:tblGrid>
        <w:gridCol w:w="1743"/>
        <w:gridCol w:w="8723"/>
      </w:tblGrid>
      <w:tr w:rsidR="002C7B6E" w:rsidRPr="00956052" w14:paraId="3E8A2EE2" w14:textId="77777777" w:rsidTr="00A215FD">
        <w:trPr>
          <w:trHeight w:val="2156"/>
        </w:trPr>
        <w:tc>
          <w:tcPr>
            <w:tcW w:w="10466" w:type="dxa"/>
            <w:gridSpan w:val="2"/>
            <w:tcBorders>
              <w:top w:val="nil"/>
              <w:left w:val="nil"/>
              <w:bottom w:val="single" w:sz="4" w:space="0" w:color="auto"/>
              <w:right w:val="nil"/>
            </w:tcBorders>
            <w:shd w:val="clear" w:color="auto" w:fill="auto"/>
          </w:tcPr>
          <w:p w14:paraId="13A6DB6F" w14:textId="721377C3" w:rsidR="002C7B6E" w:rsidRPr="00DF76DE" w:rsidRDefault="00DF76DE" w:rsidP="00A215FD">
            <w:pPr>
              <w:pStyle w:val="Boxtext"/>
              <w:spacing w:after="120"/>
              <w:jc w:val="center"/>
              <w:rPr>
                <w:rFonts w:asciiTheme="minorHAnsi" w:hAnsiTheme="minorHAnsi" w:cstheme="minorHAnsi"/>
                <w:b/>
                <w:sz w:val="28"/>
                <w:szCs w:val="28"/>
              </w:rPr>
            </w:pPr>
            <w:bookmarkStart w:id="0" w:name="_Hlk67734742"/>
            <w:r w:rsidRPr="00DF76DE">
              <w:rPr>
                <w:noProof/>
                <w:sz w:val="28"/>
                <w:szCs w:val="28"/>
              </w:rPr>
              <w:drawing>
                <wp:anchor distT="0" distB="0" distL="114300" distR="114300" simplePos="0" relativeHeight="251658240" behindDoc="0" locked="0" layoutInCell="1" allowOverlap="1" wp14:anchorId="75DBA9B4" wp14:editId="72776556">
                  <wp:simplePos x="0" y="0"/>
                  <wp:positionH relativeFrom="column">
                    <wp:posOffset>-68580</wp:posOffset>
                  </wp:positionH>
                  <wp:positionV relativeFrom="paragraph">
                    <wp:posOffset>0</wp:posOffset>
                  </wp:positionV>
                  <wp:extent cx="6645910" cy="1910715"/>
                  <wp:effectExtent l="0" t="0" r="2540" b="0"/>
                  <wp:wrapThrough wrapText="bothSides">
                    <wp:wrapPolygon edited="0">
                      <wp:start x="0" y="0"/>
                      <wp:lineTo x="0" y="21320"/>
                      <wp:lineTo x="21546" y="21320"/>
                      <wp:lineTo x="215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1910715"/>
                          </a:xfrm>
                          <a:prstGeom prst="rect">
                            <a:avLst/>
                          </a:prstGeom>
                          <a:noFill/>
                          <a:ln>
                            <a:noFill/>
                          </a:ln>
                        </pic:spPr>
                      </pic:pic>
                    </a:graphicData>
                  </a:graphic>
                </wp:anchor>
              </w:drawing>
            </w:r>
            <w:proofErr w:type="spellStart"/>
            <w:r w:rsidR="000C0888" w:rsidRPr="00DF76DE">
              <w:rPr>
                <w:rFonts w:asciiTheme="minorHAnsi" w:hAnsiTheme="minorHAnsi" w:cstheme="minorHAnsi"/>
                <w:b/>
                <w:sz w:val="28"/>
                <w:szCs w:val="28"/>
              </w:rPr>
              <w:t>Programme</w:t>
            </w:r>
            <w:proofErr w:type="spellEnd"/>
          </w:p>
          <w:p w14:paraId="5327F260" w14:textId="77777777" w:rsidR="002C7B6E" w:rsidRPr="00956052" w:rsidRDefault="002C7B6E" w:rsidP="0081632E">
            <w:pPr>
              <w:shd w:val="clear" w:color="auto" w:fill="FFFFFF"/>
              <w:spacing w:before="240" w:after="240" w:line="276" w:lineRule="auto"/>
              <w:jc w:val="both"/>
              <w:rPr>
                <w:rFonts w:asciiTheme="minorHAnsi" w:hAnsiTheme="minorHAnsi" w:cstheme="minorHAnsi"/>
                <w:sz w:val="20"/>
                <w:szCs w:val="20"/>
                <w:shd w:val="clear" w:color="auto" w:fill="FFFFFF"/>
              </w:rPr>
            </w:pPr>
            <w:r w:rsidRPr="005D63C6">
              <w:rPr>
                <w:rFonts w:asciiTheme="minorHAnsi" w:hAnsiTheme="minorHAnsi" w:cstheme="minorHAnsi"/>
              </w:rPr>
              <w:t xml:space="preserve">Vaccination against COVID-19 is a critical measure, indeed the single most efficient measure, to mitigate against loss of lives and further economic disruption. While the international community has made significant contributions towards financing the vaccine in African countries, there remains a significant financing gap to be filled through domestic resource allocation. It is consequently crucial that African governments consider ways in which to independently finance and distribute this new vaccine in both the short and medium term. </w:t>
            </w:r>
            <w:r w:rsidRPr="005D63C6">
              <w:rPr>
                <w:rFonts w:asciiTheme="minorHAnsi" w:hAnsiTheme="minorHAnsi" w:cstheme="minorHAnsi"/>
                <w:shd w:val="clear" w:color="auto" w:fill="FFFFFF"/>
              </w:rPr>
              <w:t xml:space="preserve">This workshop will provide an opportunity for officials from ministries of finance and health to learn from peer countries and experts about financing, costing, </w:t>
            </w:r>
            <w:proofErr w:type="gramStart"/>
            <w:r w:rsidRPr="005D63C6">
              <w:rPr>
                <w:rFonts w:asciiTheme="minorHAnsi" w:hAnsiTheme="minorHAnsi" w:cstheme="minorHAnsi"/>
                <w:shd w:val="clear" w:color="auto" w:fill="FFFFFF"/>
              </w:rPr>
              <w:t>budgeting</w:t>
            </w:r>
            <w:proofErr w:type="gramEnd"/>
            <w:r w:rsidRPr="005D63C6">
              <w:rPr>
                <w:rFonts w:asciiTheme="minorHAnsi" w:hAnsiTheme="minorHAnsi" w:cstheme="minorHAnsi"/>
                <w:shd w:val="clear" w:color="auto" w:fill="FFFFFF"/>
              </w:rPr>
              <w:t xml:space="preserve"> and implementing COVID-19 vaccine programmes. </w:t>
            </w:r>
          </w:p>
        </w:tc>
      </w:tr>
      <w:tr w:rsidR="002C7B6E" w:rsidRPr="00956052" w14:paraId="5BD89BEF" w14:textId="77777777" w:rsidTr="00A215FD">
        <w:tc>
          <w:tcPr>
            <w:tcW w:w="104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35750F" w14:textId="77777777" w:rsidR="002C7B6E" w:rsidRPr="00956052" w:rsidRDefault="002C7B6E" w:rsidP="0081632E">
            <w:pPr>
              <w:pStyle w:val="Boxtext"/>
              <w:spacing w:before="120" w:after="120"/>
              <w:jc w:val="center"/>
              <w:rPr>
                <w:rFonts w:asciiTheme="minorHAnsi" w:hAnsiTheme="minorHAnsi" w:cstheme="minorHAnsi"/>
                <w:b/>
              </w:rPr>
            </w:pPr>
            <w:bookmarkStart w:id="1" w:name="_Hlk29805684"/>
            <w:r w:rsidRPr="00956052">
              <w:rPr>
                <w:rFonts w:asciiTheme="minorHAnsi" w:hAnsiTheme="minorHAnsi" w:cstheme="minorHAnsi"/>
                <w:b/>
              </w:rPr>
              <w:t>Tuesday, 13 April 2021 (10:00 – 14:30 GMT +2)</w:t>
            </w:r>
          </w:p>
        </w:tc>
      </w:tr>
      <w:tr w:rsidR="00625D97" w:rsidRPr="00956052" w14:paraId="5746E374" w14:textId="77777777" w:rsidTr="00A215FD">
        <w:tc>
          <w:tcPr>
            <w:tcW w:w="1276" w:type="dxa"/>
          </w:tcPr>
          <w:p w14:paraId="1FE317B6" w14:textId="2F79692E" w:rsidR="00625D97" w:rsidRPr="00956052" w:rsidRDefault="00625D97" w:rsidP="00625D97">
            <w:pPr>
              <w:pStyle w:val="Boxtext"/>
              <w:spacing w:before="120" w:after="120"/>
              <w:rPr>
                <w:rFonts w:asciiTheme="minorHAnsi" w:hAnsiTheme="minorHAnsi" w:cstheme="minorHAnsi"/>
                <w:bCs/>
              </w:rPr>
            </w:pPr>
            <w:r w:rsidRPr="00956052">
              <w:rPr>
                <w:rFonts w:asciiTheme="minorHAnsi" w:hAnsiTheme="minorHAnsi" w:cstheme="minorHAnsi"/>
                <w:bCs/>
              </w:rPr>
              <w:t>10:00 – 10:</w:t>
            </w:r>
            <w:r w:rsidR="00A215FD">
              <w:rPr>
                <w:rFonts w:asciiTheme="minorHAnsi" w:hAnsiTheme="minorHAnsi" w:cstheme="minorHAnsi"/>
                <w:bCs/>
              </w:rPr>
              <w:t>20</w:t>
            </w:r>
          </w:p>
        </w:tc>
        <w:tc>
          <w:tcPr>
            <w:tcW w:w="9190" w:type="dxa"/>
          </w:tcPr>
          <w:p w14:paraId="06D95049" w14:textId="036DDA82" w:rsidR="003E7DF9" w:rsidRPr="003E7DF9" w:rsidRDefault="003E7DF9" w:rsidP="00625D97">
            <w:pPr>
              <w:spacing w:before="120" w:after="120"/>
              <w:rPr>
                <w:rFonts w:asciiTheme="minorHAnsi" w:hAnsiTheme="minorHAnsi" w:cstheme="minorHAnsi"/>
                <w:b/>
                <w:bCs/>
              </w:rPr>
            </w:pPr>
            <w:r w:rsidRPr="003E7DF9">
              <w:rPr>
                <w:rFonts w:asciiTheme="minorHAnsi" w:hAnsiTheme="minorHAnsi" w:cstheme="minorHAnsi"/>
                <w:b/>
                <w:bCs/>
              </w:rPr>
              <w:t>Short video on housekeeping rules for the event</w:t>
            </w:r>
          </w:p>
          <w:p w14:paraId="457EF382" w14:textId="3EE925EA" w:rsidR="00625D97" w:rsidRPr="00956052" w:rsidRDefault="00625D97" w:rsidP="00625D97">
            <w:pPr>
              <w:spacing w:before="120" w:after="120"/>
              <w:rPr>
                <w:rFonts w:asciiTheme="minorHAnsi" w:hAnsiTheme="minorHAnsi" w:cstheme="minorHAnsi"/>
              </w:rPr>
            </w:pPr>
            <w:r w:rsidRPr="00956052">
              <w:rPr>
                <w:rFonts w:asciiTheme="minorHAnsi" w:hAnsiTheme="minorHAnsi" w:cstheme="minorHAnsi"/>
                <w:b/>
                <w:bCs/>
              </w:rPr>
              <w:t>Welcome and opening remarks</w:t>
            </w:r>
            <w:r w:rsidRPr="00956052">
              <w:rPr>
                <w:rFonts w:asciiTheme="minorHAnsi" w:hAnsiTheme="minorHAnsi" w:cstheme="minorHAnsi"/>
              </w:rPr>
              <w:t xml:space="preserve"> by Neil Cole (Executive Secretary, CABRI)</w:t>
            </w:r>
          </w:p>
          <w:p w14:paraId="32508D3B" w14:textId="74FC12D0" w:rsidR="00A215FD" w:rsidRPr="00A215FD" w:rsidRDefault="00625D97" w:rsidP="00A215FD">
            <w:pPr>
              <w:spacing w:before="120" w:after="120"/>
              <w:rPr>
                <w:rFonts w:asciiTheme="minorHAnsi" w:hAnsiTheme="minorHAnsi" w:cstheme="minorHAnsi"/>
              </w:rPr>
            </w:pPr>
            <w:r w:rsidRPr="00956052">
              <w:rPr>
                <w:rFonts w:asciiTheme="minorHAnsi" w:hAnsiTheme="minorHAnsi" w:cstheme="minorHAnsi"/>
                <w:b/>
                <w:bCs/>
              </w:rPr>
              <w:t>Programme overview</w:t>
            </w:r>
            <w:r w:rsidRPr="00956052">
              <w:rPr>
                <w:rFonts w:asciiTheme="minorHAnsi" w:hAnsiTheme="minorHAnsi" w:cstheme="minorHAnsi"/>
              </w:rPr>
              <w:t xml:space="preserve"> by Danielle Serebro (</w:t>
            </w:r>
            <w:r w:rsidR="00801797">
              <w:rPr>
                <w:rFonts w:asciiTheme="minorHAnsi" w:hAnsiTheme="minorHAnsi" w:cstheme="minorHAnsi"/>
              </w:rPr>
              <w:t>Acting Programme Manager</w:t>
            </w:r>
            <w:r w:rsidRPr="00956052">
              <w:rPr>
                <w:rFonts w:asciiTheme="minorHAnsi" w:hAnsiTheme="minorHAnsi" w:cstheme="minorHAnsi"/>
              </w:rPr>
              <w:t>, CABRI)</w:t>
            </w:r>
          </w:p>
        </w:tc>
      </w:tr>
      <w:tr w:rsidR="00625D97" w:rsidRPr="00956052" w14:paraId="5924D6CA" w14:textId="77777777" w:rsidTr="00A215FD">
        <w:tc>
          <w:tcPr>
            <w:tcW w:w="1276" w:type="dxa"/>
          </w:tcPr>
          <w:p w14:paraId="67A60611" w14:textId="77777777"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b/>
              </w:rPr>
              <w:t>Session 1</w:t>
            </w:r>
          </w:p>
          <w:p w14:paraId="2CAA87C9" w14:textId="5EFAA8C3"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rPr>
              <w:t>10:</w:t>
            </w:r>
            <w:r w:rsidR="00A215FD">
              <w:rPr>
                <w:rFonts w:asciiTheme="minorHAnsi" w:hAnsiTheme="minorHAnsi" w:cstheme="minorHAnsi"/>
              </w:rPr>
              <w:t>20</w:t>
            </w:r>
            <w:r w:rsidRPr="00956052">
              <w:rPr>
                <w:rFonts w:asciiTheme="minorHAnsi" w:hAnsiTheme="minorHAnsi" w:cstheme="minorHAnsi"/>
              </w:rPr>
              <w:t xml:space="preserve"> – 11:20</w:t>
            </w:r>
          </w:p>
        </w:tc>
        <w:tc>
          <w:tcPr>
            <w:tcW w:w="9190" w:type="dxa"/>
          </w:tcPr>
          <w:p w14:paraId="2527FC84" w14:textId="77777777" w:rsidR="00625D97" w:rsidRPr="00956052" w:rsidRDefault="00625D97" w:rsidP="00625D97">
            <w:pPr>
              <w:spacing w:before="120" w:after="120"/>
              <w:rPr>
                <w:rFonts w:asciiTheme="minorHAnsi" w:eastAsiaTheme="minorHAnsi" w:hAnsiTheme="minorHAnsi" w:cstheme="minorHAnsi"/>
                <w:b/>
              </w:rPr>
            </w:pPr>
            <w:r w:rsidRPr="00956052">
              <w:rPr>
                <w:rFonts w:asciiTheme="minorHAnsi" w:eastAsiaTheme="minorHAnsi" w:hAnsiTheme="minorHAnsi" w:cstheme="minorHAnsi"/>
                <w:b/>
              </w:rPr>
              <w:t xml:space="preserve">Panel discussion: </w:t>
            </w:r>
            <w:bookmarkStart w:id="2" w:name="_Hlk67916825"/>
            <w:r w:rsidRPr="00956052">
              <w:rPr>
                <w:rFonts w:asciiTheme="minorHAnsi" w:eastAsiaTheme="minorHAnsi" w:hAnsiTheme="minorHAnsi" w:cstheme="minorHAnsi"/>
                <w:b/>
              </w:rPr>
              <w:t>The economic case for vaccinating against COVID-19</w:t>
            </w:r>
            <w:bookmarkEnd w:id="2"/>
          </w:p>
          <w:p w14:paraId="0A0F2D45" w14:textId="77777777" w:rsidR="00625D97" w:rsidRPr="00956052" w:rsidRDefault="00625D97" w:rsidP="00625D97">
            <w:pPr>
              <w:spacing w:before="120" w:after="120"/>
              <w:jc w:val="both"/>
              <w:rPr>
                <w:rFonts w:asciiTheme="minorHAnsi" w:eastAsia="Times New Roman" w:hAnsiTheme="minorHAnsi" w:cstheme="minorHAnsi"/>
                <w:lang w:eastAsia="en-ZA"/>
              </w:rPr>
            </w:pPr>
            <w:r w:rsidRPr="00956052">
              <w:rPr>
                <w:rFonts w:asciiTheme="minorHAnsi" w:hAnsiTheme="minorHAnsi" w:cstheme="minorHAnsi"/>
              </w:rPr>
              <w:t xml:space="preserve">There is increasing recognition that the societal benefits of the COVID-19 vaccine are far greater than associated cost; it has been estimated that </w:t>
            </w:r>
            <w:r w:rsidRPr="00956052">
              <w:rPr>
                <w:rFonts w:asciiTheme="minorHAnsi" w:hAnsiTheme="minorHAnsi" w:cstheme="minorHAnsi"/>
                <w:spacing w:val="3"/>
                <w:shd w:val="clear" w:color="auto" w:fill="FFFFFF"/>
              </w:rPr>
              <w:t>for every month without a vaccine, the African continent loses USD 13.8 billion in GDP.</w:t>
            </w:r>
            <w:r w:rsidRPr="00956052">
              <w:rPr>
                <w:rStyle w:val="FootnoteReference"/>
                <w:rFonts w:asciiTheme="minorHAnsi" w:hAnsiTheme="minorHAnsi" w:cstheme="minorHAnsi"/>
                <w:spacing w:val="3"/>
                <w:shd w:val="clear" w:color="auto" w:fill="FFFFFF"/>
              </w:rPr>
              <w:footnoteReference w:id="1"/>
            </w:r>
            <w:r w:rsidRPr="00956052">
              <w:rPr>
                <w:rFonts w:asciiTheme="minorHAnsi" w:hAnsiTheme="minorHAnsi" w:cstheme="minorHAnsi"/>
                <w:spacing w:val="3"/>
                <w:shd w:val="clear" w:color="auto" w:fill="FFFFFF"/>
              </w:rPr>
              <w:t xml:space="preserve"> </w:t>
            </w:r>
            <w:r w:rsidRPr="00956052">
              <w:rPr>
                <w:rFonts w:asciiTheme="minorHAnsi" w:hAnsiTheme="minorHAnsi" w:cstheme="minorHAnsi"/>
              </w:rPr>
              <w:t>However, p</w:t>
            </w:r>
            <w:r w:rsidRPr="00956052">
              <w:rPr>
                <w:rFonts w:asciiTheme="minorHAnsi" w:eastAsia="Times New Roman" w:hAnsiTheme="minorHAnsi" w:cstheme="minorHAnsi"/>
                <w:lang w:eastAsia="en-ZA"/>
              </w:rPr>
              <w:t xml:space="preserve">urchasing and implementing the vaccine is a costly exercise and comes at a time when African governments have even less fiscal space than usual. Many African governments are consequently relying exclusively on the development community to fund the COVID-19 vaccine; however, this is unlikely to be sufficient. </w:t>
            </w:r>
          </w:p>
          <w:p w14:paraId="03487754" w14:textId="77777777" w:rsidR="00625D97" w:rsidRPr="00956052" w:rsidRDefault="00625D97" w:rsidP="00625D97">
            <w:pPr>
              <w:spacing w:before="120" w:after="120"/>
              <w:jc w:val="both"/>
              <w:rPr>
                <w:rFonts w:asciiTheme="minorHAnsi" w:eastAsia="Times New Roman" w:hAnsiTheme="minorHAnsi" w:cstheme="minorHAnsi"/>
                <w:lang w:eastAsia="en-ZA"/>
              </w:rPr>
            </w:pPr>
            <w:r w:rsidRPr="00956052">
              <w:rPr>
                <w:rFonts w:asciiTheme="minorHAnsi" w:eastAsia="Times New Roman" w:hAnsiTheme="minorHAnsi" w:cstheme="minorHAnsi"/>
                <w:lang w:eastAsia="en-ZA"/>
              </w:rPr>
              <w:t>What trends have been observed in budgeting for the vaccine across the continent and what is required to convince policymakers that budgeting for the COVID-19 vaccine is a necessity when it may crowd out other priority expenditure?</w:t>
            </w:r>
          </w:p>
          <w:p w14:paraId="0E167B07" w14:textId="77777777" w:rsidR="00625D97" w:rsidRPr="00956052" w:rsidRDefault="00625D97" w:rsidP="00625D97">
            <w:pPr>
              <w:spacing w:before="120" w:after="120"/>
              <w:jc w:val="both"/>
              <w:rPr>
                <w:rFonts w:asciiTheme="minorHAnsi" w:eastAsia="Times New Roman" w:hAnsiTheme="minorHAnsi" w:cstheme="minorHAnsi"/>
                <w:b/>
                <w:bCs/>
                <w:lang w:eastAsia="en-ZA"/>
              </w:rPr>
            </w:pPr>
            <w:r w:rsidRPr="00956052">
              <w:rPr>
                <w:rFonts w:asciiTheme="minorHAnsi" w:eastAsia="Times New Roman" w:hAnsiTheme="minorHAnsi" w:cstheme="minorHAnsi"/>
                <w:b/>
                <w:bCs/>
                <w:lang w:eastAsia="en-ZA"/>
              </w:rPr>
              <w:t xml:space="preserve">Panellists: </w:t>
            </w:r>
          </w:p>
          <w:p w14:paraId="6A9F91D9" w14:textId="3329738B" w:rsidR="00625D97" w:rsidRPr="00956052" w:rsidRDefault="00625D97" w:rsidP="00625D97">
            <w:pPr>
              <w:spacing w:before="120" w:after="120"/>
              <w:jc w:val="both"/>
              <w:rPr>
                <w:rFonts w:asciiTheme="minorHAnsi" w:eastAsiaTheme="minorHAnsi" w:hAnsiTheme="minorHAnsi" w:cstheme="minorHAnsi"/>
                <w:bCs/>
              </w:rPr>
            </w:pPr>
            <w:r w:rsidRPr="00956052">
              <w:rPr>
                <w:rFonts w:asciiTheme="minorHAnsi" w:eastAsiaTheme="minorHAnsi" w:hAnsiTheme="minorHAnsi" w:cstheme="minorHAnsi"/>
                <w:bCs/>
              </w:rPr>
              <w:t xml:space="preserve">Dr Daniel </w:t>
            </w:r>
            <w:proofErr w:type="spellStart"/>
            <w:r w:rsidRPr="00956052">
              <w:rPr>
                <w:rFonts w:asciiTheme="minorHAnsi" w:eastAsiaTheme="minorHAnsi" w:hAnsiTheme="minorHAnsi" w:cstheme="minorHAnsi"/>
                <w:bCs/>
              </w:rPr>
              <w:t>Gebre</w:t>
            </w:r>
            <w:proofErr w:type="spellEnd"/>
            <w:r w:rsidRPr="00956052">
              <w:rPr>
                <w:rFonts w:asciiTheme="minorHAnsi" w:eastAsiaTheme="minorHAnsi" w:hAnsiTheme="minorHAnsi" w:cstheme="minorHAnsi"/>
                <w:bCs/>
              </w:rPr>
              <w:t xml:space="preserve">-Michael </w:t>
            </w:r>
            <w:proofErr w:type="spellStart"/>
            <w:r w:rsidRPr="00956052">
              <w:rPr>
                <w:rFonts w:asciiTheme="minorHAnsi" w:eastAsiaTheme="minorHAnsi" w:hAnsiTheme="minorHAnsi" w:cstheme="minorHAnsi"/>
                <w:bCs/>
              </w:rPr>
              <w:t>Burssa</w:t>
            </w:r>
            <w:proofErr w:type="spellEnd"/>
            <w:r w:rsidRPr="00956052">
              <w:rPr>
                <w:rFonts w:asciiTheme="minorHAnsi" w:eastAsiaTheme="minorHAnsi" w:hAnsiTheme="minorHAnsi" w:cstheme="minorHAnsi"/>
                <w:bCs/>
              </w:rPr>
              <w:t xml:space="preserve"> (</w:t>
            </w:r>
            <w:r w:rsidR="00693B27" w:rsidRPr="00693B27">
              <w:rPr>
                <w:rFonts w:asciiTheme="minorHAnsi" w:eastAsiaTheme="minorHAnsi" w:hAnsiTheme="minorHAnsi" w:cstheme="minorHAnsi"/>
                <w:bCs/>
              </w:rPr>
              <w:t>Senior Advisor to the Minister of Health</w:t>
            </w:r>
            <w:r w:rsidRPr="00956052">
              <w:rPr>
                <w:rFonts w:asciiTheme="minorHAnsi" w:eastAsiaTheme="minorHAnsi" w:hAnsiTheme="minorHAnsi" w:cstheme="minorHAnsi"/>
                <w:bCs/>
              </w:rPr>
              <w:t xml:space="preserve">: Federal Ministry of Health, Ethiopia) </w:t>
            </w:r>
          </w:p>
          <w:p w14:paraId="0392C2D2" w14:textId="6E0FB1B3" w:rsidR="00625D97" w:rsidRPr="00956052" w:rsidRDefault="00625D97" w:rsidP="00625D97">
            <w:pPr>
              <w:spacing w:before="120" w:after="120"/>
              <w:jc w:val="both"/>
              <w:rPr>
                <w:rFonts w:asciiTheme="minorHAnsi" w:eastAsiaTheme="minorHAnsi" w:hAnsiTheme="minorHAnsi" w:cstheme="minorHAnsi"/>
                <w:bCs/>
              </w:rPr>
            </w:pPr>
            <w:r w:rsidRPr="00956052">
              <w:rPr>
                <w:rFonts w:asciiTheme="minorHAnsi" w:eastAsiaTheme="minorHAnsi" w:hAnsiTheme="minorHAnsi" w:cstheme="minorHAnsi"/>
                <w:bCs/>
              </w:rPr>
              <w:t xml:space="preserve">Dr Philipp Krause (Senior Advisor, CABRI) </w:t>
            </w:r>
          </w:p>
          <w:p w14:paraId="617FABA7" w14:textId="574003B1" w:rsidR="00FA2680" w:rsidRPr="00956052" w:rsidRDefault="00FA2680" w:rsidP="00FA2680">
            <w:pPr>
              <w:spacing w:before="120" w:after="120" w:line="269" w:lineRule="auto"/>
              <w:jc w:val="both"/>
              <w:rPr>
                <w:rFonts w:asciiTheme="minorHAnsi" w:eastAsiaTheme="minorHAnsi" w:hAnsiTheme="minorHAnsi" w:cstheme="minorHAnsi"/>
                <w:bCs/>
              </w:rPr>
            </w:pPr>
            <w:r w:rsidRPr="00956052">
              <w:rPr>
                <w:rFonts w:asciiTheme="minorHAnsi" w:eastAsiaTheme="minorHAnsi" w:hAnsiTheme="minorHAnsi" w:cstheme="minorHAnsi"/>
                <w:bCs/>
                <w:lang w:val="en-US"/>
              </w:rPr>
              <w:t>A</w:t>
            </w:r>
            <w:proofErr w:type="spellStart"/>
            <w:r w:rsidRPr="00956052">
              <w:rPr>
                <w:rFonts w:asciiTheme="minorHAnsi" w:hAnsiTheme="minorHAnsi" w:cstheme="minorHAnsi"/>
              </w:rPr>
              <w:t>hmed</w:t>
            </w:r>
            <w:proofErr w:type="spellEnd"/>
            <w:r w:rsidRPr="00956052">
              <w:rPr>
                <w:rFonts w:asciiTheme="minorHAnsi" w:hAnsiTheme="minorHAnsi" w:cstheme="minorHAnsi"/>
              </w:rPr>
              <w:t xml:space="preserve"> </w:t>
            </w:r>
            <w:proofErr w:type="spellStart"/>
            <w:r w:rsidRPr="00956052">
              <w:rPr>
                <w:rFonts w:asciiTheme="minorHAnsi" w:hAnsiTheme="minorHAnsi" w:cstheme="minorHAnsi"/>
              </w:rPr>
              <w:t>Kouchouk</w:t>
            </w:r>
            <w:proofErr w:type="spellEnd"/>
            <w:r w:rsidRPr="00956052">
              <w:rPr>
                <w:rFonts w:asciiTheme="minorHAnsi" w:hAnsiTheme="minorHAnsi" w:cstheme="minorHAnsi"/>
              </w:rPr>
              <w:t xml:space="preserve"> (Vice Minister of Finance for Fiscal Policies &amp; Institutional Reform, Ministry of Finance, Egypt</w:t>
            </w:r>
            <w:r w:rsidR="002C107B" w:rsidRPr="00956052">
              <w:rPr>
                <w:rFonts w:asciiTheme="minorHAnsi" w:hAnsiTheme="minorHAnsi" w:cstheme="minorHAnsi"/>
              </w:rPr>
              <w:t>)</w:t>
            </w:r>
          </w:p>
          <w:p w14:paraId="3ED48DE4" w14:textId="77777777" w:rsidR="00625D97" w:rsidRPr="00956052" w:rsidRDefault="00625D97" w:rsidP="00625D97">
            <w:pPr>
              <w:spacing w:before="120" w:after="120"/>
              <w:jc w:val="both"/>
              <w:rPr>
                <w:rFonts w:asciiTheme="minorHAnsi" w:eastAsiaTheme="minorHAnsi" w:hAnsiTheme="minorHAnsi" w:cstheme="minorHAnsi"/>
                <w:bCs/>
              </w:rPr>
            </w:pPr>
            <w:bookmarkStart w:id="3" w:name="_Hlk66187213"/>
            <w:proofErr w:type="spellStart"/>
            <w:r w:rsidRPr="00956052">
              <w:rPr>
                <w:rFonts w:asciiTheme="minorHAnsi" w:eastAsiaTheme="minorHAnsi" w:hAnsiTheme="minorHAnsi" w:cstheme="minorHAnsi"/>
                <w:bCs/>
              </w:rPr>
              <w:t>Gyude</w:t>
            </w:r>
            <w:proofErr w:type="spellEnd"/>
            <w:r w:rsidRPr="00956052">
              <w:rPr>
                <w:rFonts w:asciiTheme="minorHAnsi" w:eastAsiaTheme="minorHAnsi" w:hAnsiTheme="minorHAnsi" w:cstheme="minorHAnsi"/>
                <w:bCs/>
              </w:rPr>
              <w:t xml:space="preserve"> Moore </w:t>
            </w:r>
            <w:bookmarkEnd w:id="3"/>
            <w:r w:rsidRPr="00956052">
              <w:rPr>
                <w:rFonts w:asciiTheme="minorHAnsi" w:eastAsiaTheme="minorHAnsi" w:hAnsiTheme="minorHAnsi" w:cstheme="minorHAnsi"/>
                <w:bCs/>
              </w:rPr>
              <w:t xml:space="preserve">(Senior Policy Fellow: Centre for Global Development) </w:t>
            </w:r>
          </w:p>
          <w:p w14:paraId="2BE707D9" w14:textId="512930C8" w:rsidR="00A215FD" w:rsidRPr="00A215FD" w:rsidRDefault="00625D97" w:rsidP="00A215FD">
            <w:pPr>
              <w:spacing w:before="120" w:after="120"/>
              <w:jc w:val="both"/>
              <w:rPr>
                <w:rFonts w:asciiTheme="minorHAnsi" w:eastAsiaTheme="minorHAnsi" w:hAnsiTheme="minorHAnsi" w:cstheme="minorHAnsi"/>
                <w:bCs/>
              </w:rPr>
            </w:pPr>
            <w:r w:rsidRPr="00956052">
              <w:rPr>
                <w:rFonts w:asciiTheme="minorHAnsi" w:eastAsiaTheme="minorHAnsi" w:hAnsiTheme="minorHAnsi" w:cstheme="minorHAnsi"/>
                <w:b/>
              </w:rPr>
              <w:t>Moderator:</w:t>
            </w:r>
            <w:r w:rsidRPr="00956052">
              <w:rPr>
                <w:rFonts w:asciiTheme="minorHAnsi" w:eastAsiaTheme="minorHAnsi" w:hAnsiTheme="minorHAnsi" w:cstheme="minorHAnsi"/>
                <w:bCs/>
              </w:rPr>
              <w:t xml:space="preserve"> Fifi Peters (CNBC Africa) </w:t>
            </w:r>
          </w:p>
        </w:tc>
      </w:tr>
      <w:tr w:rsidR="00625D97" w:rsidRPr="00956052" w14:paraId="541938F0" w14:textId="77777777" w:rsidTr="00A215FD">
        <w:tc>
          <w:tcPr>
            <w:tcW w:w="1276" w:type="dxa"/>
          </w:tcPr>
          <w:p w14:paraId="7550DDBE" w14:textId="6DEC4F2F" w:rsidR="00625D97" w:rsidRPr="00956052" w:rsidRDefault="00625D97" w:rsidP="00625D97">
            <w:pPr>
              <w:pStyle w:val="Boxtext"/>
              <w:spacing w:before="120" w:after="120"/>
              <w:rPr>
                <w:rFonts w:asciiTheme="minorHAnsi" w:hAnsiTheme="minorHAnsi" w:cstheme="minorHAnsi"/>
                <w:bCs/>
              </w:rPr>
            </w:pPr>
            <w:r w:rsidRPr="00956052">
              <w:rPr>
                <w:rFonts w:asciiTheme="minorHAnsi" w:hAnsiTheme="minorHAnsi" w:cstheme="minorHAnsi"/>
                <w:bCs/>
              </w:rPr>
              <w:t xml:space="preserve">11:20 – 11:25 </w:t>
            </w:r>
          </w:p>
        </w:tc>
        <w:tc>
          <w:tcPr>
            <w:tcW w:w="9190" w:type="dxa"/>
          </w:tcPr>
          <w:p w14:paraId="3A57C479" w14:textId="0A805828" w:rsidR="007E6A61" w:rsidRPr="007E6A61" w:rsidRDefault="00625D97" w:rsidP="007E6A61">
            <w:pPr>
              <w:spacing w:before="120" w:after="120"/>
              <w:rPr>
                <w:rFonts w:asciiTheme="minorHAnsi" w:eastAsiaTheme="minorHAnsi" w:hAnsiTheme="minorHAnsi" w:cstheme="minorHAnsi"/>
                <w:bCs/>
              </w:rPr>
            </w:pPr>
            <w:r w:rsidRPr="00956052">
              <w:rPr>
                <w:rFonts w:asciiTheme="minorHAnsi" w:eastAsiaTheme="minorHAnsi" w:hAnsiTheme="minorHAnsi" w:cstheme="minorHAnsi"/>
                <w:bCs/>
              </w:rPr>
              <w:t xml:space="preserve">Comfort break </w:t>
            </w:r>
            <w:r w:rsidR="007E6A61">
              <w:rPr>
                <w:rFonts w:asciiTheme="minorHAnsi" w:eastAsiaTheme="minorHAnsi" w:hAnsiTheme="minorHAnsi" w:cstheme="minorHAnsi"/>
              </w:rPr>
              <w:tab/>
            </w:r>
          </w:p>
        </w:tc>
      </w:tr>
      <w:tr w:rsidR="00625D97" w:rsidRPr="00956052" w14:paraId="0F043D89" w14:textId="77777777" w:rsidTr="00A215FD">
        <w:tc>
          <w:tcPr>
            <w:tcW w:w="1276" w:type="dxa"/>
          </w:tcPr>
          <w:p w14:paraId="1F26AF67" w14:textId="77777777"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b/>
              </w:rPr>
              <w:lastRenderedPageBreak/>
              <w:t>Session 2</w:t>
            </w:r>
          </w:p>
          <w:p w14:paraId="28A726B5" w14:textId="2A23D417"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rPr>
              <w:t>11:25 – 12:30</w:t>
            </w:r>
          </w:p>
        </w:tc>
        <w:tc>
          <w:tcPr>
            <w:tcW w:w="9190" w:type="dxa"/>
          </w:tcPr>
          <w:p w14:paraId="2F84C353" w14:textId="77777777" w:rsidR="00625D97" w:rsidRPr="00956052" w:rsidRDefault="00625D97" w:rsidP="00625D97">
            <w:pPr>
              <w:pStyle w:val="Boxtext"/>
              <w:spacing w:before="120" w:after="120"/>
              <w:rPr>
                <w:rFonts w:asciiTheme="minorHAnsi" w:hAnsiTheme="minorHAnsi" w:cstheme="minorHAnsi"/>
                <w:b/>
                <w:bCs/>
                <w:iCs/>
              </w:rPr>
            </w:pPr>
            <w:r w:rsidRPr="00956052">
              <w:rPr>
                <w:rFonts w:asciiTheme="minorHAnsi" w:hAnsiTheme="minorHAnsi" w:cstheme="minorHAnsi"/>
                <w:b/>
                <w:bCs/>
                <w:iCs/>
              </w:rPr>
              <w:t>Costing and budgeting for a vaccine during a pandemic</w:t>
            </w:r>
          </w:p>
          <w:p w14:paraId="13460B44" w14:textId="098C1F09" w:rsidR="00625D97" w:rsidRPr="00956052" w:rsidRDefault="00625D97" w:rsidP="00625D97">
            <w:pPr>
              <w:pStyle w:val="Boxtext"/>
              <w:spacing w:before="120" w:after="120"/>
              <w:rPr>
                <w:rFonts w:asciiTheme="minorHAnsi" w:hAnsiTheme="minorHAnsi" w:cstheme="minorHAnsi"/>
                <w:iCs/>
              </w:rPr>
            </w:pPr>
            <w:r w:rsidRPr="00956052">
              <w:rPr>
                <w:rFonts w:asciiTheme="minorHAnsi" w:hAnsiTheme="minorHAnsi" w:cstheme="minorHAnsi"/>
                <w:iCs/>
              </w:rPr>
              <w:t xml:space="preserve">While the costing exercise will typically be undertaken by the ministry of health, the ministry of finance must ensure these </w:t>
            </w:r>
            <w:proofErr w:type="spellStart"/>
            <w:r w:rsidRPr="00956052">
              <w:rPr>
                <w:rFonts w:asciiTheme="minorHAnsi" w:hAnsiTheme="minorHAnsi" w:cstheme="minorHAnsi"/>
                <w:iCs/>
              </w:rPr>
              <w:t>programmes</w:t>
            </w:r>
            <w:proofErr w:type="spellEnd"/>
            <w:r w:rsidRPr="00956052">
              <w:rPr>
                <w:rFonts w:asciiTheme="minorHAnsi" w:hAnsiTheme="minorHAnsi" w:cstheme="minorHAnsi"/>
                <w:iCs/>
              </w:rPr>
              <w:t xml:space="preserve"> are represented in the budget presented to parliament and that the different elements of the PFM system are sufficiently flexible and reliable to facilitate vaccine </w:t>
            </w:r>
            <w:proofErr w:type="spellStart"/>
            <w:r w:rsidRPr="00956052">
              <w:rPr>
                <w:rFonts w:asciiTheme="minorHAnsi" w:hAnsiTheme="minorHAnsi" w:cstheme="minorHAnsi"/>
                <w:iCs/>
              </w:rPr>
              <w:t>programme</w:t>
            </w:r>
            <w:proofErr w:type="spellEnd"/>
            <w:r w:rsidRPr="00956052">
              <w:rPr>
                <w:rFonts w:asciiTheme="minorHAnsi" w:hAnsiTheme="minorHAnsi" w:cstheme="minorHAnsi"/>
                <w:iCs/>
              </w:rPr>
              <w:t xml:space="preserve"> implementation. This requires close collaboration between ministries of finance and health, both before and after vaccine purchase, and access to and </w:t>
            </w:r>
            <w:proofErr w:type="spellStart"/>
            <w:r w:rsidRPr="00956052">
              <w:rPr>
                <w:rFonts w:asciiTheme="minorHAnsi" w:hAnsiTheme="minorHAnsi" w:cstheme="minorHAnsi"/>
                <w:iCs/>
              </w:rPr>
              <w:t>utilisation</w:t>
            </w:r>
            <w:proofErr w:type="spellEnd"/>
            <w:r w:rsidRPr="00956052">
              <w:rPr>
                <w:rFonts w:asciiTheme="minorHAnsi" w:hAnsiTheme="minorHAnsi" w:cstheme="minorHAnsi"/>
                <w:iCs/>
              </w:rPr>
              <w:t xml:space="preserve"> of accurate and comprehensive data. </w:t>
            </w:r>
          </w:p>
          <w:p w14:paraId="60901CF3" w14:textId="55DA98FF" w:rsidR="00A215FD" w:rsidRDefault="00625D97" w:rsidP="00A215FD">
            <w:pPr>
              <w:pStyle w:val="Boxtext"/>
              <w:spacing w:before="120" w:after="120"/>
            </w:pPr>
            <w:r w:rsidRPr="00956052">
              <w:rPr>
                <w:rFonts w:asciiTheme="minorHAnsi" w:hAnsiTheme="minorHAnsi" w:cstheme="minorHAnsi"/>
                <w:b/>
                <w:bCs/>
              </w:rPr>
              <w:t>An overview of COVID-</w:t>
            </w:r>
            <w:r w:rsidRPr="007E6A61">
              <w:rPr>
                <w:rFonts w:asciiTheme="minorHAnsi" w:hAnsiTheme="minorHAnsi" w:cstheme="minorHAnsi"/>
                <w:b/>
                <w:bCs/>
              </w:rPr>
              <w:t>19 vaccine costing in Africa and the introduction and deployment costing tool</w:t>
            </w:r>
            <w:r w:rsidRPr="007E6A61">
              <w:rPr>
                <w:rFonts w:asciiTheme="minorHAnsi" w:hAnsiTheme="minorHAnsi" w:cstheme="minorHAnsi"/>
              </w:rPr>
              <w:t xml:space="preserve"> by </w:t>
            </w:r>
            <w:r w:rsidR="00A215FD" w:rsidRPr="007E6A61">
              <w:rPr>
                <w:rFonts w:asciiTheme="minorHAnsi" w:hAnsiTheme="minorHAnsi" w:cstheme="minorHAnsi"/>
              </w:rPr>
              <w:t xml:space="preserve">Dr Raymond </w:t>
            </w:r>
            <w:proofErr w:type="spellStart"/>
            <w:r w:rsidR="00A215FD" w:rsidRPr="007E6A61">
              <w:rPr>
                <w:rFonts w:asciiTheme="minorHAnsi" w:hAnsiTheme="minorHAnsi" w:cstheme="minorHAnsi"/>
              </w:rPr>
              <w:t>Hutubessy</w:t>
            </w:r>
            <w:proofErr w:type="spellEnd"/>
            <w:r w:rsidR="00A215FD" w:rsidRPr="007E6A61">
              <w:rPr>
                <w:rFonts w:asciiTheme="minorHAnsi" w:hAnsiTheme="minorHAnsi" w:cstheme="minorHAnsi"/>
              </w:rPr>
              <w:t xml:space="preserve"> (Senior Economist: Immunization, Vaccines and Biologicals Department, World Health Organization)</w:t>
            </w:r>
          </w:p>
          <w:p w14:paraId="012AE774" w14:textId="3F4BF8AF" w:rsidR="00625D97" w:rsidRPr="000117F8" w:rsidRDefault="00625D97" w:rsidP="00A215FD">
            <w:pPr>
              <w:pStyle w:val="Default"/>
              <w:jc w:val="both"/>
              <w:rPr>
                <w:sz w:val="22"/>
                <w:szCs w:val="22"/>
              </w:rPr>
            </w:pPr>
            <w:r w:rsidRPr="000117F8">
              <w:rPr>
                <w:rFonts w:asciiTheme="minorHAnsi" w:hAnsiTheme="minorHAnsi" w:cstheme="minorHAnsi"/>
                <w:b/>
                <w:bCs/>
                <w:iCs/>
                <w:sz w:val="22"/>
                <w:szCs w:val="22"/>
              </w:rPr>
              <w:t xml:space="preserve">Costing the COVID-19 vaccine programme in the Ministry of Health </w:t>
            </w:r>
            <w:r w:rsidRPr="000117F8">
              <w:rPr>
                <w:rFonts w:asciiTheme="minorHAnsi" w:hAnsiTheme="minorHAnsi" w:cstheme="minorHAnsi"/>
                <w:iCs/>
                <w:sz w:val="22"/>
                <w:szCs w:val="22"/>
              </w:rPr>
              <w:t>by Dr Shobha Hajarnis (</w:t>
            </w:r>
            <w:r w:rsidR="00F504A3" w:rsidRPr="000117F8">
              <w:rPr>
                <w:rFonts w:asciiTheme="minorHAnsi" w:hAnsiTheme="minorHAnsi" w:cstheme="minorHAnsi"/>
                <w:iCs/>
                <w:sz w:val="22"/>
                <w:szCs w:val="22"/>
              </w:rPr>
              <w:t>Consultant, Principal Secretary’s Secretariat, Ministry of Health</w:t>
            </w:r>
            <w:r w:rsidRPr="000117F8">
              <w:rPr>
                <w:rFonts w:asciiTheme="minorHAnsi" w:hAnsiTheme="minorHAnsi" w:cstheme="minorHAnsi"/>
                <w:sz w:val="22"/>
                <w:szCs w:val="22"/>
                <w:lang w:val="en"/>
              </w:rPr>
              <w:t>, Seychelles)</w:t>
            </w:r>
          </w:p>
          <w:p w14:paraId="65FE0602" w14:textId="1483741A"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b/>
                <w:bCs/>
              </w:rPr>
              <w:t>Ghana’s approach to COVID-19 vaccine costing and budgeting</w:t>
            </w:r>
            <w:r w:rsidRPr="00956052">
              <w:rPr>
                <w:rFonts w:asciiTheme="minorHAnsi" w:hAnsiTheme="minorHAnsi" w:cstheme="minorHAnsi"/>
              </w:rPr>
              <w:t xml:space="preserve"> by Dr Alex Amankwah-Poku (Head, Budget Development and Reforms, Budget Division, Ministry of Finance of Ghana) </w:t>
            </w:r>
          </w:p>
          <w:p w14:paraId="00678286" w14:textId="63DC218E"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rPr>
              <w:t xml:space="preserve">Q&amp;A </w:t>
            </w:r>
          </w:p>
          <w:p w14:paraId="1E070980" w14:textId="77777777"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b/>
                <w:bCs/>
              </w:rPr>
              <w:t>Facilitator:</w:t>
            </w:r>
            <w:r w:rsidRPr="00956052">
              <w:rPr>
                <w:rFonts w:asciiTheme="minorHAnsi" w:hAnsiTheme="minorHAnsi" w:cstheme="minorHAnsi"/>
              </w:rPr>
              <w:t xml:space="preserve"> Joana Bento (</w:t>
            </w:r>
            <w:proofErr w:type="spellStart"/>
            <w:r w:rsidRPr="00956052">
              <w:rPr>
                <w:rFonts w:asciiTheme="minorHAnsi" w:hAnsiTheme="minorHAnsi" w:cstheme="minorHAnsi"/>
              </w:rPr>
              <w:t>Programme</w:t>
            </w:r>
            <w:proofErr w:type="spellEnd"/>
            <w:r w:rsidRPr="00956052">
              <w:rPr>
                <w:rFonts w:asciiTheme="minorHAnsi" w:hAnsiTheme="minorHAnsi" w:cstheme="minorHAnsi"/>
              </w:rPr>
              <w:t xml:space="preserve"> Manager: Building Public Finance Capabilities, CABRI)</w:t>
            </w:r>
          </w:p>
        </w:tc>
      </w:tr>
      <w:tr w:rsidR="00625D97" w:rsidRPr="00956052" w14:paraId="4D4D0686" w14:textId="77777777" w:rsidTr="00A215FD">
        <w:tc>
          <w:tcPr>
            <w:tcW w:w="1276" w:type="dxa"/>
          </w:tcPr>
          <w:p w14:paraId="30B95DF4" w14:textId="10DC209D"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rPr>
              <w:t>12:30 – 12:40</w:t>
            </w:r>
          </w:p>
        </w:tc>
        <w:tc>
          <w:tcPr>
            <w:tcW w:w="9190" w:type="dxa"/>
          </w:tcPr>
          <w:p w14:paraId="5256216C" w14:textId="77777777" w:rsidR="00625D97" w:rsidRPr="00956052" w:rsidRDefault="00625D97" w:rsidP="00625D97">
            <w:pPr>
              <w:pStyle w:val="Boxtext"/>
              <w:spacing w:before="120" w:after="120"/>
              <w:rPr>
                <w:rFonts w:asciiTheme="minorHAnsi" w:hAnsiTheme="minorHAnsi" w:cstheme="minorHAnsi"/>
                <w:b/>
                <w:bCs/>
                <w:iCs/>
              </w:rPr>
            </w:pPr>
            <w:r w:rsidRPr="00956052">
              <w:rPr>
                <w:rFonts w:asciiTheme="minorHAnsi" w:hAnsiTheme="minorHAnsi" w:cstheme="minorHAnsi"/>
                <w:i/>
              </w:rPr>
              <w:t xml:space="preserve">Break </w:t>
            </w:r>
          </w:p>
        </w:tc>
      </w:tr>
      <w:tr w:rsidR="00625D97" w:rsidRPr="00956052" w14:paraId="18820218" w14:textId="77777777" w:rsidTr="00A215FD">
        <w:tc>
          <w:tcPr>
            <w:tcW w:w="1276" w:type="dxa"/>
          </w:tcPr>
          <w:p w14:paraId="7BFDFB5B" w14:textId="77777777"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b/>
              </w:rPr>
              <w:t>Session 3</w:t>
            </w:r>
          </w:p>
          <w:p w14:paraId="619DD422" w14:textId="3A9D87EC"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rPr>
              <w:t>12:40 – 13:</w:t>
            </w:r>
            <w:r w:rsidR="00D25187">
              <w:rPr>
                <w:rFonts w:asciiTheme="minorHAnsi" w:hAnsiTheme="minorHAnsi" w:cstheme="minorHAnsi"/>
              </w:rPr>
              <w:t>35</w:t>
            </w:r>
          </w:p>
        </w:tc>
        <w:tc>
          <w:tcPr>
            <w:tcW w:w="9190" w:type="dxa"/>
          </w:tcPr>
          <w:p w14:paraId="7EE0132F" w14:textId="25D878F5" w:rsidR="00625D97" w:rsidRPr="00956052" w:rsidRDefault="00625D97" w:rsidP="00625D97">
            <w:pPr>
              <w:spacing w:before="120" w:after="120" w:line="269" w:lineRule="auto"/>
              <w:jc w:val="both"/>
              <w:rPr>
                <w:rFonts w:asciiTheme="minorHAnsi" w:hAnsiTheme="minorHAnsi" w:cstheme="minorHAnsi"/>
                <w:bCs/>
              </w:rPr>
            </w:pPr>
            <w:r w:rsidRPr="00956052">
              <w:rPr>
                <w:rFonts w:asciiTheme="minorHAnsi" w:hAnsiTheme="minorHAnsi" w:cstheme="minorHAnsi"/>
                <w:b/>
              </w:rPr>
              <w:t xml:space="preserve">Financing for the </w:t>
            </w:r>
            <w:r w:rsidR="004D155D">
              <w:rPr>
                <w:rFonts w:asciiTheme="minorHAnsi" w:hAnsiTheme="minorHAnsi" w:cstheme="minorHAnsi"/>
                <w:b/>
              </w:rPr>
              <w:t xml:space="preserve">COVID-19 </w:t>
            </w:r>
            <w:r w:rsidRPr="00956052">
              <w:rPr>
                <w:rFonts w:asciiTheme="minorHAnsi" w:hAnsiTheme="minorHAnsi" w:cstheme="minorHAnsi"/>
                <w:b/>
              </w:rPr>
              <w:t xml:space="preserve">vaccine </w:t>
            </w:r>
            <w:r w:rsidRPr="00956052">
              <w:rPr>
                <w:rFonts w:asciiTheme="minorHAnsi" w:hAnsiTheme="minorHAnsi" w:cstheme="minorHAnsi"/>
              </w:rPr>
              <w:t xml:space="preserve"> </w:t>
            </w:r>
            <w:r w:rsidRPr="00956052">
              <w:rPr>
                <w:rFonts w:asciiTheme="minorHAnsi" w:hAnsiTheme="minorHAnsi" w:cstheme="minorHAnsi"/>
                <w:bCs/>
              </w:rPr>
              <w:t xml:space="preserve"> </w:t>
            </w:r>
          </w:p>
          <w:p w14:paraId="24701A1C" w14:textId="19498D4D"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rPr>
              <w:t xml:space="preserve">It is the responsibility of a ministry of finance to carefully consider different financing options and the implications of each, both in the short- and medium-term. If the costs and benefits of financing decisions are not weighed prudently, scarce public resources will be consumed inefficiently, and vaccine programmes may not be effective in reaching herd immunity. While countries will have access to different financing sources, it is useful to consider all available options, including vaccine bonds, health taxes, debt swaps or debt relief, and budget reprioritisations. </w:t>
            </w:r>
          </w:p>
          <w:p w14:paraId="3553A0D0" w14:textId="1F9CFDBB" w:rsidR="00625D97" w:rsidRPr="00956052" w:rsidRDefault="00625D97" w:rsidP="00625D97">
            <w:pPr>
              <w:pStyle w:val="Default"/>
              <w:rPr>
                <w:sz w:val="22"/>
                <w:szCs w:val="22"/>
              </w:rPr>
            </w:pPr>
            <w:r w:rsidRPr="00956052">
              <w:rPr>
                <w:rFonts w:asciiTheme="minorHAnsi" w:hAnsiTheme="minorHAnsi" w:cstheme="minorHAnsi"/>
                <w:b/>
                <w:sz w:val="22"/>
                <w:szCs w:val="22"/>
              </w:rPr>
              <w:t xml:space="preserve">Financing options for the COVID-19 vaccination programme </w:t>
            </w:r>
            <w:r w:rsidRPr="00956052">
              <w:rPr>
                <w:rFonts w:asciiTheme="minorHAnsi" w:hAnsiTheme="minorHAnsi" w:cstheme="minorHAnsi"/>
                <w:bCs/>
                <w:sz w:val="22"/>
                <w:szCs w:val="22"/>
              </w:rPr>
              <w:t xml:space="preserve">by </w:t>
            </w:r>
            <w:r w:rsidR="00801797">
              <w:rPr>
                <w:rFonts w:asciiTheme="minorHAnsi" w:hAnsiTheme="minorHAnsi" w:cstheme="minorHAnsi"/>
                <w:bCs/>
                <w:sz w:val="22"/>
                <w:szCs w:val="22"/>
              </w:rPr>
              <w:t xml:space="preserve">Danielle Serebro </w:t>
            </w:r>
          </w:p>
          <w:p w14:paraId="644D0DDF" w14:textId="3277CF4E" w:rsidR="00625D97" w:rsidRPr="00956052" w:rsidRDefault="00625D97" w:rsidP="00625D97">
            <w:pPr>
              <w:spacing w:before="120" w:after="120" w:line="269" w:lineRule="auto"/>
              <w:jc w:val="both"/>
              <w:rPr>
                <w:rFonts w:asciiTheme="minorHAnsi" w:hAnsiTheme="minorHAnsi" w:cstheme="minorHAnsi"/>
                <w:bCs/>
              </w:rPr>
            </w:pPr>
            <w:r w:rsidRPr="00956052">
              <w:rPr>
                <w:rFonts w:asciiTheme="minorHAnsi" w:hAnsiTheme="minorHAnsi" w:cstheme="minorHAnsi"/>
                <w:b/>
              </w:rPr>
              <w:t xml:space="preserve">A comprehensive financing mix for South Africa’s COVID-19 vaccination programme </w:t>
            </w:r>
            <w:r w:rsidRPr="00956052">
              <w:rPr>
                <w:rFonts w:asciiTheme="minorHAnsi" w:hAnsiTheme="minorHAnsi" w:cstheme="minorHAnsi"/>
                <w:bCs/>
              </w:rPr>
              <w:t>by Dr Mark Blecher (</w:t>
            </w:r>
            <w:r w:rsidRPr="00956052">
              <w:rPr>
                <w:rFonts w:asciiTheme="minorHAnsi" w:hAnsiTheme="minorHAnsi" w:cstheme="minorHAnsi"/>
              </w:rPr>
              <w:t>Chief Director: Health and Social Development, South African National Treasury</w:t>
            </w:r>
            <w:r w:rsidRPr="00956052">
              <w:rPr>
                <w:rFonts w:asciiTheme="minorHAnsi" w:hAnsiTheme="minorHAnsi" w:cstheme="minorHAnsi"/>
                <w:bCs/>
              </w:rPr>
              <w:t xml:space="preserve">) </w:t>
            </w:r>
          </w:p>
          <w:p w14:paraId="7E839F11" w14:textId="0A3A1AD1" w:rsidR="00625D97" w:rsidRPr="00956052" w:rsidRDefault="00625D97" w:rsidP="00625D97">
            <w:pPr>
              <w:spacing w:before="120" w:after="120" w:line="269" w:lineRule="auto"/>
              <w:jc w:val="both"/>
              <w:rPr>
                <w:rFonts w:asciiTheme="minorHAnsi" w:hAnsiTheme="minorHAnsi" w:cstheme="minorHAnsi"/>
                <w:b/>
              </w:rPr>
            </w:pPr>
            <w:r w:rsidRPr="00956052">
              <w:rPr>
                <w:rFonts w:asciiTheme="minorHAnsi" w:hAnsiTheme="minorHAnsi" w:cstheme="minorHAnsi"/>
                <w:b/>
              </w:rPr>
              <w:t xml:space="preserve">Financing options under consideration in </w:t>
            </w:r>
            <w:r w:rsidR="00A31D50">
              <w:rPr>
                <w:rFonts w:asciiTheme="minorHAnsi" w:hAnsiTheme="minorHAnsi" w:cstheme="minorHAnsi"/>
                <w:b/>
              </w:rPr>
              <w:t>Mauritius</w:t>
            </w:r>
            <w:r w:rsidRPr="00956052">
              <w:rPr>
                <w:rFonts w:asciiTheme="minorHAnsi" w:hAnsiTheme="minorHAnsi" w:cstheme="minorHAnsi"/>
                <w:b/>
              </w:rPr>
              <w:t xml:space="preserve"> </w:t>
            </w:r>
            <w:r w:rsidR="002B0A1E" w:rsidRPr="002B0A1E">
              <w:rPr>
                <w:rFonts w:asciiTheme="minorHAnsi" w:hAnsiTheme="minorHAnsi" w:cstheme="minorHAnsi"/>
                <w:bCs/>
              </w:rPr>
              <w:t xml:space="preserve">by </w:t>
            </w:r>
            <w:r w:rsidR="00A31D50" w:rsidRPr="00A31D50">
              <w:rPr>
                <w:rFonts w:asciiTheme="minorHAnsi" w:hAnsiTheme="minorHAnsi" w:cstheme="minorHAnsi"/>
                <w:bCs/>
              </w:rPr>
              <w:t xml:space="preserve">Parmanand </w:t>
            </w:r>
            <w:proofErr w:type="spellStart"/>
            <w:r w:rsidR="00A31D50" w:rsidRPr="00A31D50">
              <w:rPr>
                <w:rFonts w:asciiTheme="minorHAnsi" w:hAnsiTheme="minorHAnsi" w:cstheme="minorHAnsi"/>
                <w:bCs/>
              </w:rPr>
              <w:t>Mawah</w:t>
            </w:r>
            <w:proofErr w:type="spellEnd"/>
            <w:r w:rsidR="00A31D50">
              <w:rPr>
                <w:rFonts w:asciiTheme="minorHAnsi" w:hAnsiTheme="minorHAnsi" w:cstheme="minorHAnsi"/>
                <w:bCs/>
              </w:rPr>
              <w:t xml:space="preserve"> (</w:t>
            </w:r>
            <w:r w:rsidR="000117F8">
              <w:rPr>
                <w:rFonts w:asciiTheme="minorHAnsi" w:hAnsiTheme="minorHAnsi" w:cstheme="minorHAnsi"/>
                <w:bCs/>
              </w:rPr>
              <w:t xml:space="preserve">Acting </w:t>
            </w:r>
            <w:r w:rsidR="00A31D50">
              <w:rPr>
                <w:rFonts w:asciiTheme="minorHAnsi" w:hAnsiTheme="minorHAnsi" w:cstheme="minorHAnsi"/>
                <w:bCs/>
              </w:rPr>
              <w:t xml:space="preserve">Permanent Secretary: </w:t>
            </w:r>
            <w:r w:rsidR="00A31D50" w:rsidRPr="00A31D50">
              <w:rPr>
                <w:rFonts w:asciiTheme="minorHAnsi" w:hAnsiTheme="minorHAnsi" w:cstheme="minorHAnsi"/>
                <w:bCs/>
              </w:rPr>
              <w:t>Ministry of Health and Wellness</w:t>
            </w:r>
            <w:r w:rsidR="00A31D50">
              <w:rPr>
                <w:rFonts w:asciiTheme="minorHAnsi" w:hAnsiTheme="minorHAnsi" w:cstheme="minorHAnsi"/>
                <w:bCs/>
              </w:rPr>
              <w:t>, Mauritius)</w:t>
            </w:r>
          </w:p>
          <w:p w14:paraId="75F6BB40" w14:textId="0E400CEF" w:rsidR="00625D97" w:rsidRPr="00956052" w:rsidRDefault="00625D97" w:rsidP="00625D97">
            <w:pPr>
              <w:spacing w:before="120" w:after="120" w:line="269" w:lineRule="auto"/>
              <w:jc w:val="both"/>
              <w:rPr>
                <w:rFonts w:asciiTheme="minorHAnsi" w:hAnsiTheme="minorHAnsi" w:cstheme="minorHAnsi"/>
                <w:bCs/>
              </w:rPr>
            </w:pPr>
            <w:r w:rsidRPr="00956052">
              <w:rPr>
                <w:rFonts w:asciiTheme="minorHAnsi" w:hAnsiTheme="minorHAnsi" w:cstheme="minorHAnsi"/>
                <w:bCs/>
              </w:rPr>
              <w:t xml:space="preserve">Q&amp;A </w:t>
            </w:r>
          </w:p>
          <w:p w14:paraId="157A8661" w14:textId="0E6487D0"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b/>
              </w:rPr>
              <w:t>Facilitator:</w:t>
            </w:r>
            <w:r w:rsidRPr="00956052">
              <w:rPr>
                <w:rFonts w:asciiTheme="minorHAnsi" w:hAnsiTheme="minorHAnsi" w:cstheme="minorHAnsi"/>
                <w:bCs/>
              </w:rPr>
              <w:t xml:space="preserve"> </w:t>
            </w:r>
            <w:r w:rsidR="000268B7">
              <w:rPr>
                <w:rFonts w:asciiTheme="minorHAnsi" w:hAnsiTheme="minorHAnsi" w:cstheme="minorHAnsi"/>
                <w:bCs/>
              </w:rPr>
              <w:t xml:space="preserve">Dr </w:t>
            </w:r>
            <w:r w:rsidRPr="00956052">
              <w:rPr>
                <w:rFonts w:asciiTheme="minorHAnsi" w:hAnsiTheme="minorHAnsi" w:cstheme="minorHAnsi"/>
                <w:bCs/>
              </w:rPr>
              <w:t xml:space="preserve">Philipp Krause  </w:t>
            </w:r>
          </w:p>
        </w:tc>
      </w:tr>
      <w:tr w:rsidR="00625D97" w:rsidRPr="00956052" w14:paraId="32042F3C" w14:textId="77777777" w:rsidTr="00A215FD">
        <w:tc>
          <w:tcPr>
            <w:tcW w:w="1276" w:type="dxa"/>
          </w:tcPr>
          <w:p w14:paraId="1D2FDC13" w14:textId="77777777"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b/>
              </w:rPr>
              <w:t xml:space="preserve">Session 4  </w:t>
            </w:r>
          </w:p>
          <w:p w14:paraId="1578FF72" w14:textId="25D13770" w:rsidR="00625D97" w:rsidRPr="00956052" w:rsidRDefault="00625D97" w:rsidP="00625D97">
            <w:pPr>
              <w:pStyle w:val="Boxtext"/>
              <w:spacing w:before="120" w:after="120"/>
              <w:rPr>
                <w:rFonts w:asciiTheme="minorHAnsi" w:hAnsiTheme="minorHAnsi" w:cstheme="minorHAnsi"/>
                <w:bCs/>
              </w:rPr>
            </w:pPr>
            <w:r w:rsidRPr="00956052">
              <w:rPr>
                <w:rFonts w:asciiTheme="minorHAnsi" w:hAnsiTheme="minorHAnsi" w:cstheme="minorHAnsi"/>
                <w:bCs/>
              </w:rPr>
              <w:t>13:</w:t>
            </w:r>
            <w:r w:rsidR="00D25187">
              <w:rPr>
                <w:rFonts w:asciiTheme="minorHAnsi" w:hAnsiTheme="minorHAnsi" w:cstheme="minorHAnsi"/>
                <w:bCs/>
              </w:rPr>
              <w:t>35</w:t>
            </w:r>
            <w:r w:rsidRPr="00956052">
              <w:rPr>
                <w:rFonts w:asciiTheme="minorHAnsi" w:hAnsiTheme="minorHAnsi" w:cstheme="minorHAnsi"/>
                <w:bCs/>
              </w:rPr>
              <w:t xml:space="preserve"> – 14:30</w:t>
            </w:r>
          </w:p>
        </w:tc>
        <w:tc>
          <w:tcPr>
            <w:tcW w:w="9190" w:type="dxa"/>
          </w:tcPr>
          <w:p w14:paraId="5DEC8870" w14:textId="77777777" w:rsidR="00625D97" w:rsidRPr="00956052" w:rsidRDefault="00625D97" w:rsidP="00625D97">
            <w:pPr>
              <w:spacing w:before="120" w:after="120" w:line="269" w:lineRule="auto"/>
              <w:jc w:val="both"/>
              <w:rPr>
                <w:rFonts w:asciiTheme="minorHAnsi" w:hAnsiTheme="minorHAnsi" w:cstheme="minorHAnsi"/>
                <w:b/>
              </w:rPr>
            </w:pPr>
            <w:r w:rsidRPr="00956052">
              <w:rPr>
                <w:rFonts w:asciiTheme="minorHAnsi" w:hAnsiTheme="minorHAnsi" w:cstheme="minorHAnsi"/>
                <w:b/>
              </w:rPr>
              <w:t>Break-away session: Day one reflections</w:t>
            </w:r>
          </w:p>
          <w:p w14:paraId="563B0A3A" w14:textId="77777777" w:rsidR="00625D97" w:rsidRPr="00956052" w:rsidRDefault="00625D97" w:rsidP="00625D97">
            <w:pPr>
              <w:spacing w:before="120" w:after="120" w:line="269" w:lineRule="auto"/>
              <w:jc w:val="both"/>
              <w:rPr>
                <w:rFonts w:asciiTheme="minorHAnsi" w:hAnsiTheme="minorHAnsi" w:cstheme="minorHAnsi"/>
                <w:bCs/>
              </w:rPr>
            </w:pPr>
            <w:r w:rsidRPr="00956052">
              <w:rPr>
                <w:rFonts w:asciiTheme="minorHAnsi" w:hAnsiTheme="minorHAnsi" w:cstheme="minorHAnsi"/>
                <w:bCs/>
              </w:rPr>
              <w:t xml:space="preserve">In smaller group discussions, each participant will be asked to share their key take-aways from the day and how their country has approached costing, </w:t>
            </w:r>
            <w:proofErr w:type="gramStart"/>
            <w:r w:rsidRPr="00956052">
              <w:rPr>
                <w:rFonts w:asciiTheme="minorHAnsi" w:hAnsiTheme="minorHAnsi" w:cstheme="minorHAnsi"/>
                <w:bCs/>
              </w:rPr>
              <w:t>budgeting</w:t>
            </w:r>
            <w:proofErr w:type="gramEnd"/>
            <w:r w:rsidRPr="00956052">
              <w:rPr>
                <w:rFonts w:asciiTheme="minorHAnsi" w:hAnsiTheme="minorHAnsi" w:cstheme="minorHAnsi"/>
                <w:bCs/>
              </w:rPr>
              <w:t xml:space="preserve"> and financing for the COVID-19 vaccine.</w:t>
            </w:r>
          </w:p>
        </w:tc>
      </w:tr>
    </w:tbl>
    <w:p w14:paraId="2FF4BED0" w14:textId="76A82F6B" w:rsidR="002C7B6E" w:rsidRPr="00956052" w:rsidRDefault="002C7B6E" w:rsidP="002C7B6E">
      <w:pPr>
        <w:spacing w:before="120" w:after="120" w:line="259" w:lineRule="auto"/>
        <w:rPr>
          <w:rFonts w:asciiTheme="minorHAnsi" w:hAnsiTheme="minorHAnsi" w:cstheme="minorHAnsi"/>
        </w:rPr>
      </w:pPr>
    </w:p>
    <w:p w14:paraId="2D300D64" w14:textId="277E7000" w:rsidR="00C52A39" w:rsidRPr="00956052" w:rsidRDefault="00C52A39" w:rsidP="002C7B6E">
      <w:pPr>
        <w:spacing w:before="120" w:after="120" w:line="259" w:lineRule="auto"/>
        <w:rPr>
          <w:rFonts w:asciiTheme="minorHAnsi" w:hAnsiTheme="minorHAnsi" w:cstheme="minorHAnsi"/>
        </w:rPr>
      </w:pPr>
    </w:p>
    <w:p w14:paraId="389B6C18" w14:textId="3D8EA21F" w:rsidR="00C52A39" w:rsidRPr="00956052" w:rsidRDefault="00C52A39" w:rsidP="002C7B6E">
      <w:pPr>
        <w:spacing w:before="120" w:after="120" w:line="259" w:lineRule="auto"/>
        <w:rPr>
          <w:rFonts w:asciiTheme="minorHAnsi" w:hAnsiTheme="minorHAnsi" w:cstheme="minorHAnsi"/>
        </w:rPr>
      </w:pPr>
    </w:p>
    <w:p w14:paraId="23EE4B17" w14:textId="07C3844E" w:rsidR="00C52A39" w:rsidRPr="00956052" w:rsidRDefault="00C52A39" w:rsidP="002C7B6E">
      <w:pPr>
        <w:spacing w:before="120" w:after="120" w:line="259" w:lineRule="auto"/>
        <w:rPr>
          <w:rFonts w:asciiTheme="minorHAnsi" w:hAnsiTheme="minorHAnsi" w:cstheme="minorHAnsi"/>
        </w:rPr>
      </w:pPr>
    </w:p>
    <w:p w14:paraId="72B75ABB" w14:textId="7F2ACF1F" w:rsidR="00C52A39" w:rsidRDefault="00C52A39" w:rsidP="002C7B6E">
      <w:pPr>
        <w:spacing w:before="120" w:after="120" w:line="259" w:lineRule="auto"/>
        <w:rPr>
          <w:rFonts w:asciiTheme="minorHAnsi" w:hAnsiTheme="minorHAnsi" w:cstheme="minorHAnsi"/>
        </w:rPr>
      </w:pPr>
    </w:p>
    <w:tbl>
      <w:tblPr>
        <w:tblStyle w:val="TableGrid0"/>
        <w:tblW w:w="10311" w:type="dxa"/>
        <w:tblInd w:w="32" w:type="dxa"/>
        <w:tblCellMar>
          <w:top w:w="52" w:type="dxa"/>
          <w:left w:w="104" w:type="dxa"/>
          <w:right w:w="54" w:type="dxa"/>
        </w:tblCellMar>
        <w:tblLook w:val="04A0" w:firstRow="1" w:lastRow="0" w:firstColumn="1" w:lastColumn="0" w:noHBand="0" w:noVBand="1"/>
      </w:tblPr>
      <w:tblGrid>
        <w:gridCol w:w="1671"/>
        <w:gridCol w:w="8640"/>
      </w:tblGrid>
      <w:tr w:rsidR="002C7B6E" w:rsidRPr="00956052" w14:paraId="1A89B423" w14:textId="77777777" w:rsidTr="0081632E">
        <w:trPr>
          <w:trHeight w:val="263"/>
        </w:trPr>
        <w:tc>
          <w:tcPr>
            <w:tcW w:w="1031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48FFC9" w14:textId="26CD7631" w:rsidR="002C7B6E" w:rsidRPr="00956052" w:rsidRDefault="002C7B6E" w:rsidP="0081632E">
            <w:pPr>
              <w:spacing w:before="120" w:after="120" w:line="259" w:lineRule="auto"/>
              <w:ind w:right="54"/>
              <w:jc w:val="center"/>
              <w:rPr>
                <w:rFonts w:asciiTheme="minorHAnsi" w:hAnsiTheme="minorHAnsi" w:cstheme="minorHAnsi"/>
                <w:b/>
              </w:rPr>
            </w:pPr>
            <w:r w:rsidRPr="00956052">
              <w:rPr>
                <w:rFonts w:asciiTheme="minorHAnsi" w:hAnsiTheme="minorHAnsi" w:cstheme="minorHAnsi"/>
                <w:b/>
              </w:rPr>
              <w:t>Wednesday, 14 April 2021 (10:00-1</w:t>
            </w:r>
            <w:r w:rsidR="00853AF2" w:rsidRPr="00956052">
              <w:rPr>
                <w:rFonts w:asciiTheme="minorHAnsi" w:hAnsiTheme="minorHAnsi" w:cstheme="minorHAnsi"/>
                <w:b/>
              </w:rPr>
              <w:t>4:</w:t>
            </w:r>
            <w:r w:rsidR="00625D97" w:rsidRPr="00956052">
              <w:rPr>
                <w:rFonts w:asciiTheme="minorHAnsi" w:hAnsiTheme="minorHAnsi" w:cstheme="minorHAnsi"/>
                <w:b/>
              </w:rPr>
              <w:t>0</w:t>
            </w:r>
            <w:r w:rsidR="00853AF2" w:rsidRPr="00956052">
              <w:rPr>
                <w:rFonts w:asciiTheme="minorHAnsi" w:hAnsiTheme="minorHAnsi" w:cstheme="minorHAnsi"/>
                <w:b/>
              </w:rPr>
              <w:t>0</w:t>
            </w:r>
            <w:r w:rsidRPr="00956052">
              <w:rPr>
                <w:rFonts w:asciiTheme="minorHAnsi" w:hAnsiTheme="minorHAnsi" w:cstheme="minorHAnsi"/>
                <w:b/>
              </w:rPr>
              <w:t xml:space="preserve"> GMT+2)</w:t>
            </w:r>
          </w:p>
        </w:tc>
      </w:tr>
      <w:tr w:rsidR="00625D97" w:rsidRPr="00956052" w14:paraId="6A2B7D5C" w14:textId="77777777" w:rsidTr="00A2298F">
        <w:trPr>
          <w:trHeight w:val="923"/>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FD06EB2" w14:textId="574034A0" w:rsidR="00625D97" w:rsidRPr="00956052" w:rsidRDefault="00625D97" w:rsidP="00625D97">
            <w:pPr>
              <w:pStyle w:val="Boxtext"/>
              <w:spacing w:before="120" w:after="120"/>
              <w:rPr>
                <w:rFonts w:asciiTheme="minorHAnsi" w:hAnsiTheme="minorHAnsi" w:cstheme="minorHAnsi"/>
                <w:bCs/>
              </w:rPr>
            </w:pPr>
            <w:bookmarkStart w:id="4" w:name="_Hlk69223534"/>
            <w:r w:rsidRPr="00956052">
              <w:rPr>
                <w:rFonts w:asciiTheme="minorHAnsi" w:hAnsiTheme="minorHAnsi" w:cstheme="minorHAnsi"/>
                <w:bCs/>
              </w:rPr>
              <w:t>10:00 -10:</w:t>
            </w:r>
            <w:r w:rsidR="00EA52FC">
              <w:rPr>
                <w:rFonts w:asciiTheme="minorHAnsi" w:hAnsiTheme="minorHAnsi" w:cstheme="minorHAnsi"/>
                <w:bCs/>
              </w:rPr>
              <w:t>15</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4F8AA898" w14:textId="6EA8B862" w:rsidR="00625D97" w:rsidRPr="00A2298F" w:rsidRDefault="00625D97" w:rsidP="00625D97">
            <w:pPr>
              <w:spacing w:before="120" w:after="120" w:line="269" w:lineRule="auto"/>
              <w:jc w:val="both"/>
              <w:rPr>
                <w:rFonts w:asciiTheme="minorHAnsi" w:hAnsiTheme="minorHAnsi" w:cstheme="minorHAnsi"/>
                <w:b/>
                <w:bCs/>
              </w:rPr>
            </w:pPr>
            <w:r w:rsidRPr="00956052">
              <w:rPr>
                <w:rFonts w:asciiTheme="minorHAnsi" w:hAnsiTheme="minorHAnsi" w:cstheme="minorHAnsi"/>
                <w:b/>
                <w:bCs/>
              </w:rPr>
              <w:t xml:space="preserve">Day one recap </w:t>
            </w:r>
          </w:p>
          <w:p w14:paraId="1572A4DD" w14:textId="77777777" w:rsidR="00625D97" w:rsidRPr="00956052" w:rsidRDefault="00625D97" w:rsidP="00625D97">
            <w:pPr>
              <w:spacing w:before="120" w:after="120" w:line="269" w:lineRule="auto"/>
              <w:jc w:val="both"/>
              <w:rPr>
                <w:rFonts w:asciiTheme="minorHAnsi" w:hAnsiTheme="minorHAnsi" w:cstheme="minorHAnsi"/>
                <w:b/>
                <w:bCs/>
              </w:rPr>
            </w:pPr>
            <w:r w:rsidRPr="00956052">
              <w:rPr>
                <w:rFonts w:asciiTheme="minorHAnsi" w:hAnsiTheme="minorHAnsi" w:cstheme="minorHAnsi"/>
                <w:b/>
                <w:bCs/>
              </w:rPr>
              <w:t>Facilitator:</w:t>
            </w:r>
            <w:r w:rsidRPr="00956052">
              <w:rPr>
                <w:rFonts w:asciiTheme="minorHAnsi" w:hAnsiTheme="minorHAnsi" w:cstheme="minorHAnsi"/>
              </w:rPr>
              <w:t xml:space="preserve"> Danielle Serebro</w:t>
            </w:r>
            <w:r w:rsidRPr="00956052">
              <w:rPr>
                <w:rFonts w:asciiTheme="minorHAnsi" w:hAnsiTheme="minorHAnsi" w:cstheme="minorHAnsi"/>
                <w:b/>
                <w:bCs/>
              </w:rPr>
              <w:t xml:space="preserve"> </w:t>
            </w:r>
          </w:p>
        </w:tc>
      </w:tr>
      <w:tr w:rsidR="00625D97" w:rsidRPr="00956052" w14:paraId="28B951D6" w14:textId="77777777" w:rsidTr="00815A47">
        <w:trPr>
          <w:trHeight w:val="263"/>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4B6504E" w14:textId="77777777" w:rsidR="00625D97" w:rsidRPr="00956052" w:rsidRDefault="00625D97" w:rsidP="00625D97">
            <w:pPr>
              <w:pStyle w:val="Boxtext"/>
              <w:spacing w:before="120" w:after="120"/>
              <w:rPr>
                <w:rFonts w:asciiTheme="minorHAnsi" w:hAnsiTheme="minorHAnsi" w:cstheme="minorHAnsi"/>
                <w:b/>
              </w:rPr>
            </w:pPr>
            <w:r w:rsidRPr="00956052">
              <w:rPr>
                <w:rFonts w:asciiTheme="minorHAnsi" w:hAnsiTheme="minorHAnsi" w:cstheme="minorHAnsi"/>
                <w:b/>
              </w:rPr>
              <w:t>Session 5</w:t>
            </w:r>
          </w:p>
          <w:p w14:paraId="2829B58A" w14:textId="169E2253" w:rsidR="00625D97" w:rsidRPr="00956052" w:rsidRDefault="00625D97" w:rsidP="00625D97">
            <w:pPr>
              <w:pStyle w:val="Boxtext"/>
              <w:spacing w:before="120" w:after="120"/>
              <w:rPr>
                <w:rFonts w:asciiTheme="minorHAnsi" w:hAnsiTheme="minorHAnsi" w:cstheme="minorHAnsi"/>
              </w:rPr>
            </w:pPr>
            <w:r w:rsidRPr="00956052">
              <w:rPr>
                <w:rFonts w:asciiTheme="minorHAnsi" w:hAnsiTheme="minorHAnsi" w:cstheme="minorHAnsi"/>
              </w:rPr>
              <w:t>10:</w:t>
            </w:r>
            <w:r w:rsidR="00A2298F">
              <w:rPr>
                <w:rFonts w:asciiTheme="minorHAnsi" w:hAnsiTheme="minorHAnsi" w:cstheme="minorHAnsi"/>
              </w:rPr>
              <w:t>1</w:t>
            </w:r>
            <w:r w:rsidR="00EA52FC">
              <w:rPr>
                <w:rFonts w:asciiTheme="minorHAnsi" w:hAnsiTheme="minorHAnsi" w:cstheme="minorHAnsi"/>
              </w:rPr>
              <w:t>5</w:t>
            </w:r>
            <w:r w:rsidRPr="00956052">
              <w:rPr>
                <w:rFonts w:asciiTheme="minorHAnsi" w:hAnsiTheme="minorHAnsi" w:cstheme="minorHAnsi"/>
              </w:rPr>
              <w:t xml:space="preserve"> – 11:1</w:t>
            </w:r>
            <w:r w:rsidR="00EA52FC">
              <w:rPr>
                <w:rFonts w:asciiTheme="minorHAnsi" w:hAnsiTheme="minorHAnsi" w:cstheme="minorHAnsi"/>
              </w:rPr>
              <w:t>5</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63264047" w14:textId="7FDE07C6" w:rsidR="00625D97" w:rsidRPr="00956052" w:rsidRDefault="00625D97" w:rsidP="00625D97">
            <w:pPr>
              <w:spacing w:before="120" w:after="120" w:line="269" w:lineRule="auto"/>
              <w:jc w:val="both"/>
              <w:rPr>
                <w:rFonts w:asciiTheme="minorHAnsi" w:hAnsiTheme="minorHAnsi" w:cstheme="minorHAnsi"/>
                <w:b/>
                <w:bCs/>
              </w:rPr>
            </w:pPr>
            <w:r w:rsidRPr="00956052">
              <w:rPr>
                <w:rFonts w:asciiTheme="minorHAnsi" w:hAnsiTheme="minorHAnsi" w:cstheme="minorHAnsi"/>
                <w:b/>
                <w:bCs/>
              </w:rPr>
              <w:t xml:space="preserve">Vaccine procurement </w:t>
            </w:r>
          </w:p>
          <w:p w14:paraId="4D7CD921" w14:textId="77777777"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rPr>
              <w:t>On day one, we considered how governments can budget for and raise adequate financing to purchase the COVID-19 vaccine. However equally important is how governments can most efficiently and effectively procure vaccines and ensure value for money is attained. Governments have two main options to purchase the vaccine: direct or pooled procurement. During this session, we will learn more about how these purchasing options have been used and decided on during the current crisis, and how concerns around efficiency and accountability in procurement are approached during an emergency.</w:t>
            </w:r>
          </w:p>
          <w:p w14:paraId="7EA1634C" w14:textId="61BD3788"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b/>
                <w:bCs/>
              </w:rPr>
              <w:t>An overview of advanced purchasing commitments and the African Medical Supplies Platform</w:t>
            </w:r>
            <w:r w:rsidRPr="00956052">
              <w:rPr>
                <w:rFonts w:asciiTheme="minorHAnsi" w:hAnsiTheme="minorHAnsi" w:cstheme="minorHAnsi"/>
              </w:rPr>
              <w:t xml:space="preserve"> by Chidinma </w:t>
            </w:r>
            <w:proofErr w:type="spellStart"/>
            <w:r w:rsidRPr="00956052">
              <w:rPr>
                <w:rFonts w:asciiTheme="minorHAnsi" w:hAnsiTheme="minorHAnsi" w:cstheme="minorHAnsi"/>
              </w:rPr>
              <w:t>I</w:t>
            </w:r>
            <w:r w:rsidR="00A31D50">
              <w:rPr>
                <w:rFonts w:asciiTheme="minorHAnsi" w:hAnsiTheme="minorHAnsi" w:cstheme="minorHAnsi"/>
              </w:rPr>
              <w:t>fepe</w:t>
            </w:r>
            <w:proofErr w:type="spellEnd"/>
            <w:r w:rsidRPr="00956052">
              <w:rPr>
                <w:rFonts w:asciiTheme="minorHAnsi" w:hAnsiTheme="minorHAnsi" w:cstheme="minorHAnsi"/>
              </w:rPr>
              <w:t xml:space="preserve"> (Head of Operations: African Medical Supplies Platform) </w:t>
            </w:r>
          </w:p>
          <w:p w14:paraId="0195D8F2" w14:textId="3316EC91"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b/>
                <w:bCs/>
              </w:rPr>
              <w:t>Emergency procurement: balancing efficiency and accountability</w:t>
            </w:r>
            <w:r w:rsidRPr="00956052">
              <w:rPr>
                <w:rFonts w:asciiTheme="minorHAnsi" w:hAnsiTheme="minorHAnsi" w:cstheme="minorHAnsi"/>
              </w:rPr>
              <w:t xml:space="preserve"> by Dr Diop Samba (Head of Regulatory and Legal Affairs at Regulatory Authority on Public Procurement of Senegal)</w:t>
            </w:r>
          </w:p>
          <w:p w14:paraId="494C0E61" w14:textId="0C1FD5EF" w:rsidR="00625D97" w:rsidRPr="00956052" w:rsidRDefault="00625D97" w:rsidP="00625D97">
            <w:pPr>
              <w:spacing w:before="120" w:after="120" w:line="269" w:lineRule="auto"/>
              <w:jc w:val="both"/>
              <w:rPr>
                <w:rFonts w:asciiTheme="minorHAnsi" w:hAnsiTheme="minorHAnsi" w:cstheme="minorHAnsi"/>
              </w:rPr>
            </w:pPr>
            <w:r w:rsidRPr="00956052">
              <w:rPr>
                <w:rFonts w:asciiTheme="minorHAnsi" w:hAnsiTheme="minorHAnsi" w:cstheme="minorHAnsi"/>
              </w:rPr>
              <w:t xml:space="preserve">Q&amp;A </w:t>
            </w:r>
          </w:p>
          <w:p w14:paraId="05D07230" w14:textId="5326971F" w:rsidR="00625D97" w:rsidRPr="00956052" w:rsidRDefault="00625D97" w:rsidP="00625D97">
            <w:pPr>
              <w:spacing w:before="120" w:after="120" w:line="269" w:lineRule="auto"/>
              <w:jc w:val="both"/>
              <w:rPr>
                <w:rFonts w:asciiTheme="minorHAnsi" w:hAnsiTheme="minorHAnsi" w:cstheme="minorHAnsi"/>
                <w:b/>
                <w:bCs/>
              </w:rPr>
            </w:pPr>
            <w:r w:rsidRPr="00956052">
              <w:rPr>
                <w:rFonts w:asciiTheme="minorHAnsi" w:hAnsiTheme="minorHAnsi" w:cstheme="minorHAnsi"/>
                <w:b/>
                <w:bCs/>
              </w:rPr>
              <w:t xml:space="preserve">Facilitator: </w:t>
            </w:r>
            <w:r w:rsidR="007E6A61">
              <w:rPr>
                <w:rFonts w:asciiTheme="minorHAnsi" w:hAnsiTheme="minorHAnsi" w:cstheme="minorHAnsi"/>
              </w:rPr>
              <w:t>Fréjus Lingue (PFM Specialist: CABRI)</w:t>
            </w:r>
            <w:r w:rsidRPr="00956052">
              <w:rPr>
                <w:rFonts w:asciiTheme="minorHAnsi" w:hAnsiTheme="minorHAnsi" w:cstheme="minorHAnsi"/>
              </w:rPr>
              <w:t xml:space="preserve"> </w:t>
            </w:r>
          </w:p>
        </w:tc>
      </w:tr>
      <w:tr w:rsidR="00EA52FC" w:rsidRPr="00956052" w14:paraId="0245C40A" w14:textId="77777777" w:rsidTr="00815A47">
        <w:trPr>
          <w:trHeight w:val="263"/>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7B082B9" w14:textId="00058FC0" w:rsidR="00EA52FC" w:rsidRPr="00EA52FC" w:rsidRDefault="00EA52FC" w:rsidP="00625D97">
            <w:pPr>
              <w:pStyle w:val="Boxtext"/>
              <w:spacing w:before="120" w:after="120"/>
              <w:rPr>
                <w:rFonts w:asciiTheme="minorHAnsi" w:hAnsiTheme="minorHAnsi" w:cstheme="minorHAnsi"/>
                <w:bCs/>
              </w:rPr>
            </w:pPr>
            <w:r w:rsidRPr="00EA52FC">
              <w:rPr>
                <w:rFonts w:asciiTheme="minorHAnsi" w:hAnsiTheme="minorHAnsi" w:cstheme="minorHAnsi"/>
                <w:bCs/>
              </w:rPr>
              <w:t>11:15 – 11:20</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0993B2FA" w14:textId="3A28A9EC" w:rsidR="00EA52FC" w:rsidRPr="00EA52FC" w:rsidRDefault="00EA52FC" w:rsidP="00625D97">
            <w:pPr>
              <w:spacing w:before="120" w:after="120" w:line="269" w:lineRule="auto"/>
              <w:jc w:val="both"/>
              <w:rPr>
                <w:rFonts w:asciiTheme="minorHAnsi" w:hAnsiTheme="minorHAnsi" w:cstheme="minorHAnsi"/>
                <w:bCs/>
              </w:rPr>
            </w:pPr>
            <w:r w:rsidRPr="00EA52FC">
              <w:rPr>
                <w:rFonts w:asciiTheme="minorHAnsi" w:hAnsiTheme="minorHAnsi" w:cstheme="minorHAnsi"/>
                <w:bCs/>
              </w:rPr>
              <w:t>Poll results</w:t>
            </w:r>
          </w:p>
        </w:tc>
      </w:tr>
      <w:tr w:rsidR="00625D97" w:rsidRPr="00956052" w14:paraId="6AF0CE13" w14:textId="77777777" w:rsidTr="00815A47">
        <w:trPr>
          <w:trHeight w:val="263"/>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88553A2" w14:textId="5DCC4E81" w:rsidR="00625D97" w:rsidRPr="00956052" w:rsidRDefault="00625D97" w:rsidP="00625D97">
            <w:pPr>
              <w:pStyle w:val="Boxtext"/>
              <w:spacing w:before="120" w:after="120"/>
              <w:rPr>
                <w:rFonts w:asciiTheme="minorHAnsi" w:hAnsiTheme="minorHAnsi" w:cstheme="minorHAnsi"/>
                <w:bCs/>
                <w:i/>
                <w:iCs/>
              </w:rPr>
            </w:pPr>
            <w:r w:rsidRPr="00956052">
              <w:rPr>
                <w:rFonts w:asciiTheme="minorHAnsi" w:hAnsiTheme="minorHAnsi" w:cstheme="minorHAnsi"/>
                <w:bCs/>
                <w:i/>
                <w:iCs/>
              </w:rPr>
              <w:t>11:</w:t>
            </w:r>
            <w:r w:rsidR="00EA52FC">
              <w:rPr>
                <w:rFonts w:asciiTheme="minorHAnsi" w:hAnsiTheme="minorHAnsi" w:cstheme="minorHAnsi"/>
                <w:bCs/>
                <w:i/>
                <w:iCs/>
              </w:rPr>
              <w:t>20</w:t>
            </w:r>
            <w:r w:rsidRPr="00956052">
              <w:rPr>
                <w:rFonts w:asciiTheme="minorHAnsi" w:hAnsiTheme="minorHAnsi" w:cstheme="minorHAnsi"/>
                <w:bCs/>
                <w:i/>
                <w:iCs/>
              </w:rPr>
              <w:t xml:space="preserve"> – 11:</w:t>
            </w:r>
            <w:r w:rsidR="00EA52FC">
              <w:rPr>
                <w:rFonts w:asciiTheme="minorHAnsi" w:hAnsiTheme="minorHAnsi" w:cstheme="minorHAnsi"/>
                <w:bCs/>
                <w:i/>
                <w:iCs/>
              </w:rPr>
              <w:t>3</w:t>
            </w:r>
            <w:r w:rsidR="00A2298F">
              <w:rPr>
                <w:rFonts w:asciiTheme="minorHAnsi" w:hAnsiTheme="minorHAnsi" w:cstheme="minorHAnsi"/>
                <w:bCs/>
                <w:i/>
                <w:iCs/>
              </w:rPr>
              <w:t>0</w:t>
            </w: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5DE66656" w14:textId="77777777" w:rsidR="00625D97" w:rsidRPr="00956052" w:rsidRDefault="00625D97" w:rsidP="00625D97">
            <w:pPr>
              <w:pStyle w:val="Boxtext"/>
              <w:spacing w:before="120" w:after="120"/>
              <w:rPr>
                <w:rFonts w:asciiTheme="minorHAnsi" w:hAnsiTheme="minorHAnsi" w:cstheme="minorHAnsi"/>
                <w:bCs/>
                <w:i/>
                <w:iCs/>
              </w:rPr>
            </w:pPr>
            <w:r w:rsidRPr="00956052">
              <w:rPr>
                <w:rFonts w:asciiTheme="minorHAnsi" w:hAnsiTheme="minorHAnsi" w:cstheme="minorHAnsi"/>
                <w:bCs/>
                <w:i/>
                <w:iCs/>
              </w:rPr>
              <w:t xml:space="preserve">Comfort break </w:t>
            </w:r>
          </w:p>
        </w:tc>
      </w:tr>
      <w:tr w:rsidR="00625D97" w:rsidRPr="00956052" w14:paraId="7AC97C32" w14:textId="77777777" w:rsidTr="00815A47">
        <w:trPr>
          <w:trHeight w:val="484"/>
        </w:trPr>
        <w:tc>
          <w:tcPr>
            <w:tcW w:w="1671" w:type="dxa"/>
            <w:tcBorders>
              <w:top w:val="single" w:sz="4" w:space="0" w:color="000000"/>
              <w:left w:val="single" w:sz="4" w:space="0" w:color="000000"/>
              <w:bottom w:val="single" w:sz="4" w:space="0" w:color="000000"/>
              <w:right w:val="single" w:sz="4" w:space="0" w:color="000000"/>
            </w:tcBorders>
          </w:tcPr>
          <w:p w14:paraId="6A2B85D6" w14:textId="77777777" w:rsidR="00625D97" w:rsidRPr="00956052" w:rsidRDefault="00625D97" w:rsidP="00625D97">
            <w:pPr>
              <w:spacing w:before="120" w:after="120" w:line="259" w:lineRule="auto"/>
              <w:rPr>
                <w:rFonts w:asciiTheme="minorHAnsi" w:hAnsiTheme="minorHAnsi" w:cstheme="minorHAnsi"/>
                <w:b/>
                <w:bCs/>
              </w:rPr>
            </w:pPr>
            <w:r w:rsidRPr="00956052">
              <w:rPr>
                <w:rFonts w:asciiTheme="minorHAnsi" w:hAnsiTheme="minorHAnsi" w:cstheme="minorHAnsi"/>
                <w:b/>
                <w:bCs/>
              </w:rPr>
              <w:t>Session 6</w:t>
            </w:r>
          </w:p>
          <w:p w14:paraId="3B7E0D24" w14:textId="69BFDE28" w:rsidR="00625D97" w:rsidRPr="00956052" w:rsidRDefault="00625D97" w:rsidP="00625D97">
            <w:pPr>
              <w:spacing w:before="120" w:after="120" w:line="259" w:lineRule="auto"/>
              <w:rPr>
                <w:rFonts w:asciiTheme="minorHAnsi" w:hAnsiTheme="minorHAnsi" w:cstheme="minorHAnsi"/>
              </w:rPr>
            </w:pPr>
            <w:r w:rsidRPr="00956052">
              <w:rPr>
                <w:rFonts w:asciiTheme="minorHAnsi" w:hAnsiTheme="minorHAnsi" w:cstheme="minorHAnsi"/>
              </w:rPr>
              <w:t>11:</w:t>
            </w:r>
            <w:r w:rsidR="00EA52FC">
              <w:rPr>
                <w:rFonts w:asciiTheme="minorHAnsi" w:hAnsiTheme="minorHAnsi" w:cstheme="minorHAnsi"/>
              </w:rPr>
              <w:t>3</w:t>
            </w:r>
            <w:r w:rsidR="00A2298F">
              <w:rPr>
                <w:rFonts w:asciiTheme="minorHAnsi" w:hAnsiTheme="minorHAnsi" w:cstheme="minorHAnsi"/>
              </w:rPr>
              <w:t>0</w:t>
            </w:r>
            <w:r w:rsidRPr="00956052">
              <w:rPr>
                <w:rFonts w:asciiTheme="minorHAnsi" w:hAnsiTheme="minorHAnsi" w:cstheme="minorHAnsi"/>
              </w:rPr>
              <w:t xml:space="preserve"> – 12:</w:t>
            </w:r>
            <w:r w:rsidR="00A2298F">
              <w:rPr>
                <w:rFonts w:asciiTheme="minorHAnsi" w:hAnsiTheme="minorHAnsi" w:cstheme="minorHAnsi"/>
              </w:rPr>
              <w:t>45</w:t>
            </w:r>
          </w:p>
        </w:tc>
        <w:tc>
          <w:tcPr>
            <w:tcW w:w="8640" w:type="dxa"/>
            <w:tcBorders>
              <w:top w:val="single" w:sz="4" w:space="0" w:color="000000"/>
              <w:left w:val="single" w:sz="4" w:space="0" w:color="000000"/>
              <w:bottom w:val="single" w:sz="4" w:space="0" w:color="000000"/>
              <w:right w:val="single" w:sz="4" w:space="0" w:color="000000"/>
            </w:tcBorders>
          </w:tcPr>
          <w:p w14:paraId="6DCAE2DC" w14:textId="77777777" w:rsidR="00625D97" w:rsidRPr="00956052" w:rsidRDefault="00625D97" w:rsidP="00625D97">
            <w:pPr>
              <w:spacing w:before="120" w:after="120" w:line="269" w:lineRule="auto"/>
              <w:jc w:val="both"/>
              <w:rPr>
                <w:rFonts w:asciiTheme="minorHAnsi" w:eastAsiaTheme="minorHAnsi" w:hAnsiTheme="minorHAnsi" w:cstheme="minorHAnsi"/>
                <w:b/>
                <w:lang w:val="en-US"/>
              </w:rPr>
            </w:pPr>
            <w:r w:rsidRPr="00956052">
              <w:rPr>
                <w:rFonts w:asciiTheme="minorHAnsi" w:eastAsiaTheme="minorHAnsi" w:hAnsiTheme="minorHAnsi" w:cstheme="minorHAnsi"/>
                <w:b/>
                <w:lang w:val="en-US"/>
              </w:rPr>
              <w:t>Ensuring effective roll out</w:t>
            </w:r>
          </w:p>
          <w:p w14:paraId="1B6E0863" w14:textId="77777777" w:rsidR="00625D97" w:rsidRPr="00956052" w:rsidRDefault="00625D97" w:rsidP="00625D97">
            <w:pPr>
              <w:spacing w:before="120" w:after="120" w:line="269" w:lineRule="auto"/>
              <w:jc w:val="both"/>
              <w:rPr>
                <w:rFonts w:asciiTheme="minorHAnsi" w:eastAsiaTheme="minorHAnsi" w:hAnsiTheme="minorHAnsi" w:cstheme="minorHAnsi"/>
                <w:bCs/>
                <w:lang w:val="en-US"/>
              </w:rPr>
            </w:pPr>
            <w:r w:rsidRPr="00956052">
              <w:rPr>
                <w:rFonts w:asciiTheme="minorHAnsi" w:eastAsiaTheme="minorHAnsi" w:hAnsiTheme="minorHAnsi" w:cstheme="minorHAnsi"/>
                <w:bCs/>
                <w:lang w:val="en-US"/>
              </w:rPr>
              <w:t xml:space="preserve">Dr Kwaku Agyeman Manu, Minister of Health, Ghana, has noted “As we’ve learned with routine </w:t>
            </w:r>
            <w:proofErr w:type="spellStart"/>
            <w:r w:rsidRPr="00956052">
              <w:rPr>
                <w:rFonts w:asciiTheme="minorHAnsi" w:eastAsiaTheme="minorHAnsi" w:hAnsiTheme="minorHAnsi" w:cstheme="minorHAnsi"/>
                <w:bCs/>
                <w:lang w:val="en-US"/>
              </w:rPr>
              <w:t>immunisation</w:t>
            </w:r>
            <w:proofErr w:type="spellEnd"/>
            <w:r w:rsidRPr="00956052">
              <w:rPr>
                <w:rFonts w:asciiTheme="minorHAnsi" w:eastAsiaTheme="minorHAnsi" w:hAnsiTheme="minorHAnsi" w:cstheme="minorHAnsi"/>
                <w:bCs/>
                <w:lang w:val="en-US"/>
              </w:rPr>
              <w:t xml:space="preserve"> vaccines don’t save lives, vaccination does. This means we need the health infrastructure in place - from supply chain and logistics to well-trained health workers - to ensure the effective and streamlined distribution of vaccines”.</w:t>
            </w:r>
            <w:r w:rsidRPr="00956052">
              <w:rPr>
                <w:rStyle w:val="FootnoteReference"/>
                <w:rFonts w:asciiTheme="minorHAnsi" w:eastAsiaTheme="minorHAnsi" w:hAnsiTheme="minorHAnsi" w:cstheme="minorHAnsi"/>
                <w:bCs/>
                <w:lang w:val="en-US"/>
              </w:rPr>
              <w:footnoteReference w:id="2"/>
            </w:r>
            <w:r w:rsidRPr="00956052">
              <w:rPr>
                <w:rFonts w:asciiTheme="minorHAnsi" w:eastAsiaTheme="minorHAnsi" w:hAnsiTheme="minorHAnsi" w:cstheme="minorHAnsi"/>
                <w:bCs/>
                <w:lang w:val="en-US"/>
              </w:rPr>
              <w:t xml:space="preserve"> According to the WHO’s Vaccine Readiness Assessment Tool (VIRAT) based on countries’ self-reporting, Africa as a region scores 33 percent readiness for a COVID-19 vaccine roll-out, far below the benchmark of 80 percent. Furthermore, only 24 percent self-reported to have adequate plans in place for resources and funding of the roll out.</w:t>
            </w:r>
            <w:r w:rsidRPr="00956052">
              <w:rPr>
                <w:rStyle w:val="FootnoteReference"/>
                <w:rFonts w:asciiTheme="minorHAnsi" w:eastAsiaTheme="minorHAnsi" w:hAnsiTheme="minorHAnsi" w:cstheme="minorHAnsi"/>
                <w:bCs/>
                <w:lang w:val="en-US"/>
              </w:rPr>
              <w:footnoteReference w:id="3"/>
            </w:r>
            <w:r w:rsidRPr="00956052">
              <w:rPr>
                <w:rFonts w:asciiTheme="minorHAnsi" w:eastAsiaTheme="minorHAnsi" w:hAnsiTheme="minorHAnsi" w:cstheme="minorHAnsi"/>
                <w:bCs/>
                <w:lang w:val="en-US"/>
              </w:rPr>
              <w:t xml:space="preserve"> </w:t>
            </w:r>
          </w:p>
          <w:p w14:paraId="6744782F" w14:textId="6F4137AB" w:rsidR="00625D97" w:rsidRPr="00956052" w:rsidRDefault="00625D97" w:rsidP="00625D97">
            <w:pPr>
              <w:spacing w:before="120" w:after="120" w:line="269" w:lineRule="auto"/>
              <w:jc w:val="both"/>
              <w:rPr>
                <w:rFonts w:asciiTheme="minorHAnsi" w:eastAsiaTheme="minorHAnsi" w:hAnsiTheme="minorHAnsi" w:cstheme="minorHAnsi"/>
                <w:bCs/>
                <w:lang w:val="en-US"/>
              </w:rPr>
            </w:pPr>
            <w:r w:rsidRPr="00956052">
              <w:rPr>
                <w:rFonts w:asciiTheme="minorHAnsi" w:eastAsiaTheme="minorHAnsi" w:hAnsiTheme="minorHAnsi" w:cstheme="minorHAnsi"/>
                <w:bCs/>
                <w:lang w:val="en-US"/>
              </w:rPr>
              <w:t xml:space="preserve">Financing for vaccine roll outs, particularly “last-mile” distribution, has traditionally been neglected by both development partners and policy makers and it is critical that this mistake is not made for the COVID-19 vaccine. In this session, we will look at how countries can cost and budget for the roll-out, </w:t>
            </w:r>
            <w:proofErr w:type="spellStart"/>
            <w:r w:rsidRPr="00956052">
              <w:rPr>
                <w:rFonts w:asciiTheme="minorHAnsi" w:eastAsiaTheme="minorHAnsi" w:hAnsiTheme="minorHAnsi" w:cstheme="minorHAnsi"/>
                <w:bCs/>
                <w:lang w:val="en-US"/>
              </w:rPr>
              <w:t>utilise</w:t>
            </w:r>
            <w:proofErr w:type="spellEnd"/>
            <w:r w:rsidRPr="00956052">
              <w:rPr>
                <w:rFonts w:asciiTheme="minorHAnsi" w:eastAsiaTheme="minorHAnsi" w:hAnsiTheme="minorHAnsi" w:cstheme="minorHAnsi"/>
                <w:bCs/>
                <w:lang w:val="en-US"/>
              </w:rPr>
              <w:t xml:space="preserve"> the private sector and NPOs, and ensure funds flow efficiently to service-delivery </w:t>
            </w:r>
            <w:proofErr w:type="spellStart"/>
            <w:r w:rsidRPr="00956052">
              <w:rPr>
                <w:rFonts w:asciiTheme="minorHAnsi" w:eastAsiaTheme="minorHAnsi" w:hAnsiTheme="minorHAnsi" w:cstheme="minorHAnsi"/>
                <w:bCs/>
                <w:lang w:val="en-US"/>
              </w:rPr>
              <w:t>centres</w:t>
            </w:r>
            <w:proofErr w:type="spellEnd"/>
            <w:r w:rsidRPr="00956052">
              <w:rPr>
                <w:rFonts w:asciiTheme="minorHAnsi" w:eastAsiaTheme="minorHAnsi" w:hAnsiTheme="minorHAnsi" w:cstheme="minorHAnsi"/>
                <w:bCs/>
                <w:lang w:val="en-US"/>
              </w:rPr>
              <w:t>.</w:t>
            </w:r>
          </w:p>
          <w:p w14:paraId="34017F3A" w14:textId="651508C8" w:rsidR="00625D97" w:rsidRPr="00956052" w:rsidRDefault="00625D97" w:rsidP="00625D97">
            <w:pPr>
              <w:spacing w:after="240"/>
              <w:rPr>
                <w:rFonts w:asciiTheme="minorHAnsi" w:eastAsiaTheme="minorHAnsi" w:hAnsiTheme="minorHAnsi" w:cstheme="minorHAnsi"/>
                <w:bCs/>
                <w:lang w:val="en-US"/>
              </w:rPr>
            </w:pPr>
            <w:r w:rsidRPr="00956052">
              <w:rPr>
                <w:rFonts w:asciiTheme="minorHAnsi" w:eastAsiaTheme="minorHAnsi" w:hAnsiTheme="minorHAnsi" w:cstheme="minorHAnsi"/>
                <w:b/>
                <w:lang w:val="en-US"/>
              </w:rPr>
              <w:t xml:space="preserve">Findings of </w:t>
            </w:r>
            <w:r w:rsidRPr="00956052">
              <w:rPr>
                <w:rFonts w:asciiTheme="minorHAnsi" w:hAnsiTheme="minorHAnsi" w:cstheme="minorHAnsi"/>
                <w:b/>
              </w:rPr>
              <w:t>scoping review on PFM &amp; vaccine roll out</w:t>
            </w:r>
            <w:r w:rsidRPr="00956052">
              <w:rPr>
                <w:rFonts w:asciiTheme="minorHAnsi" w:hAnsiTheme="minorHAnsi" w:cstheme="minorHAnsi"/>
              </w:rPr>
              <w:t xml:space="preserve"> by Dr Hélène </w:t>
            </w:r>
            <w:proofErr w:type="spellStart"/>
            <w:r w:rsidRPr="00956052">
              <w:rPr>
                <w:rFonts w:asciiTheme="minorHAnsi" w:hAnsiTheme="minorHAnsi" w:cstheme="minorHAnsi"/>
              </w:rPr>
              <w:t>Barroy</w:t>
            </w:r>
            <w:proofErr w:type="spellEnd"/>
            <w:r w:rsidRPr="00956052">
              <w:rPr>
                <w:rFonts w:asciiTheme="minorHAnsi" w:hAnsiTheme="minorHAnsi" w:cstheme="minorHAnsi"/>
              </w:rPr>
              <w:t xml:space="preserve"> (</w:t>
            </w:r>
            <w:r w:rsidRPr="00956052">
              <w:rPr>
                <w:rFonts w:asciiTheme="minorHAnsi" w:hAnsiTheme="minorHAnsi" w:cstheme="minorHAnsi"/>
                <w:color w:val="000000"/>
              </w:rPr>
              <w:t>Senior Public Finance Expert: Department of Health Systems Governance and Financing, World Health Organization)</w:t>
            </w:r>
          </w:p>
          <w:p w14:paraId="0F6245C2" w14:textId="329781D4" w:rsidR="00625D97" w:rsidRPr="00956052" w:rsidRDefault="00625D97" w:rsidP="00625D97">
            <w:pPr>
              <w:spacing w:before="120" w:after="120" w:line="269" w:lineRule="auto"/>
              <w:jc w:val="both"/>
              <w:rPr>
                <w:rFonts w:asciiTheme="minorHAnsi" w:eastAsiaTheme="minorHAnsi" w:hAnsiTheme="minorHAnsi" w:cstheme="minorHAnsi"/>
                <w:bCs/>
                <w:lang w:val="en-US"/>
              </w:rPr>
            </w:pPr>
            <w:r w:rsidRPr="00956052">
              <w:rPr>
                <w:rFonts w:asciiTheme="minorHAnsi" w:eastAsiaTheme="minorHAnsi" w:hAnsiTheme="minorHAnsi" w:cstheme="minorHAnsi"/>
                <w:b/>
                <w:lang w:val="en-US"/>
              </w:rPr>
              <w:lastRenderedPageBreak/>
              <w:t xml:space="preserve">Planning for the COVID-19 vaccination </w:t>
            </w:r>
            <w:proofErr w:type="spellStart"/>
            <w:r w:rsidRPr="00956052">
              <w:rPr>
                <w:rFonts w:asciiTheme="minorHAnsi" w:eastAsiaTheme="minorHAnsi" w:hAnsiTheme="minorHAnsi" w:cstheme="minorHAnsi"/>
                <w:b/>
                <w:lang w:val="en-US"/>
              </w:rPr>
              <w:t>programme</w:t>
            </w:r>
            <w:proofErr w:type="spellEnd"/>
            <w:r w:rsidRPr="00956052">
              <w:rPr>
                <w:rFonts w:asciiTheme="minorHAnsi" w:eastAsiaTheme="minorHAnsi" w:hAnsiTheme="minorHAnsi" w:cstheme="minorHAnsi"/>
                <w:b/>
                <w:lang w:val="en-US"/>
              </w:rPr>
              <w:t xml:space="preserve"> roll out in Nigeria</w:t>
            </w:r>
            <w:r w:rsidRPr="00956052">
              <w:rPr>
                <w:rFonts w:asciiTheme="minorHAnsi" w:eastAsiaTheme="minorHAnsi" w:hAnsiTheme="minorHAnsi" w:cstheme="minorHAnsi"/>
                <w:bCs/>
                <w:lang w:val="en-US"/>
              </w:rPr>
              <w:t xml:space="preserve"> by Dr Bakunawa Garba Bello (Senior Medical Officer in Disease Control and Immunization Dept of National Primary Healthcare Development Agency (NPHCDA)) (alternative Ministry of Health, Rwanda)</w:t>
            </w:r>
          </w:p>
          <w:p w14:paraId="481AED0E" w14:textId="103DBCAA" w:rsidR="00625D97" w:rsidRPr="00956052" w:rsidRDefault="00625D97" w:rsidP="00625D97">
            <w:pPr>
              <w:spacing w:before="120" w:after="120" w:line="269" w:lineRule="auto"/>
              <w:jc w:val="both"/>
              <w:rPr>
                <w:rFonts w:asciiTheme="minorHAnsi" w:eastAsiaTheme="minorHAnsi" w:hAnsiTheme="minorHAnsi" w:cstheme="minorHAnsi"/>
                <w:bCs/>
                <w:lang w:val="en-US"/>
              </w:rPr>
            </w:pPr>
            <w:r w:rsidRPr="00956052">
              <w:rPr>
                <w:rFonts w:asciiTheme="minorHAnsi" w:eastAsiaTheme="minorHAnsi" w:hAnsiTheme="minorHAnsi" w:cstheme="minorHAnsi"/>
                <w:bCs/>
                <w:lang w:val="en-US"/>
              </w:rPr>
              <w:t xml:space="preserve">Q&amp;A </w:t>
            </w:r>
          </w:p>
          <w:p w14:paraId="4C051A29" w14:textId="78B01152" w:rsidR="00625D97" w:rsidRPr="00956052" w:rsidRDefault="00625D97" w:rsidP="00625D97">
            <w:pPr>
              <w:rPr>
                <w:rFonts w:asciiTheme="minorHAnsi" w:hAnsiTheme="minorHAnsi" w:cstheme="minorHAnsi"/>
              </w:rPr>
            </w:pPr>
            <w:r w:rsidRPr="00956052">
              <w:rPr>
                <w:rFonts w:asciiTheme="minorHAnsi" w:hAnsiTheme="minorHAnsi" w:cstheme="minorHAnsi"/>
                <w:b/>
                <w:bCs/>
              </w:rPr>
              <w:t>Facilitator:</w:t>
            </w:r>
            <w:r w:rsidRPr="00956052">
              <w:rPr>
                <w:rFonts w:asciiTheme="minorHAnsi" w:hAnsiTheme="minorHAnsi" w:cstheme="minorHAnsi"/>
              </w:rPr>
              <w:t xml:space="preserve"> Dr Biniam Bedasso (PFM Specialist: CABRI)</w:t>
            </w:r>
          </w:p>
        </w:tc>
      </w:tr>
      <w:tr w:rsidR="00625D97" w:rsidRPr="00956052" w14:paraId="4FC21E2A" w14:textId="77777777" w:rsidTr="00815A47">
        <w:trPr>
          <w:trHeight w:val="484"/>
        </w:trPr>
        <w:tc>
          <w:tcPr>
            <w:tcW w:w="1671" w:type="dxa"/>
            <w:tcBorders>
              <w:top w:val="single" w:sz="4" w:space="0" w:color="000000"/>
              <w:left w:val="single" w:sz="4" w:space="0" w:color="000000"/>
              <w:bottom w:val="single" w:sz="4" w:space="0" w:color="000000"/>
              <w:right w:val="single" w:sz="4" w:space="0" w:color="000000"/>
            </w:tcBorders>
          </w:tcPr>
          <w:p w14:paraId="1EAE7A2F" w14:textId="5267EF00" w:rsidR="00625D97" w:rsidRPr="00956052" w:rsidRDefault="00625D97" w:rsidP="00625D97">
            <w:pPr>
              <w:spacing w:before="120" w:after="120" w:line="259" w:lineRule="auto"/>
              <w:rPr>
                <w:rFonts w:asciiTheme="minorHAnsi" w:hAnsiTheme="minorHAnsi" w:cstheme="minorHAnsi"/>
                <w:i/>
                <w:iCs/>
              </w:rPr>
            </w:pPr>
            <w:r w:rsidRPr="00956052">
              <w:rPr>
                <w:rFonts w:asciiTheme="minorHAnsi" w:hAnsiTheme="minorHAnsi" w:cstheme="minorHAnsi"/>
                <w:i/>
                <w:iCs/>
              </w:rPr>
              <w:lastRenderedPageBreak/>
              <w:t>12:</w:t>
            </w:r>
            <w:r w:rsidR="00A2298F">
              <w:rPr>
                <w:rFonts w:asciiTheme="minorHAnsi" w:hAnsiTheme="minorHAnsi" w:cstheme="minorHAnsi"/>
                <w:i/>
                <w:iCs/>
              </w:rPr>
              <w:t xml:space="preserve">45 – 13:00 </w:t>
            </w:r>
            <w:r w:rsidRPr="00956052">
              <w:rPr>
                <w:rFonts w:asciiTheme="minorHAnsi" w:hAnsiTheme="minorHAnsi" w:cstheme="minorHAnsi"/>
                <w:i/>
                <w:iCs/>
              </w:rPr>
              <w:t xml:space="preserve"> </w:t>
            </w:r>
          </w:p>
        </w:tc>
        <w:tc>
          <w:tcPr>
            <w:tcW w:w="8640" w:type="dxa"/>
            <w:tcBorders>
              <w:top w:val="single" w:sz="4" w:space="0" w:color="000000"/>
              <w:left w:val="single" w:sz="4" w:space="0" w:color="000000"/>
              <w:bottom w:val="single" w:sz="4" w:space="0" w:color="000000"/>
              <w:right w:val="single" w:sz="4" w:space="0" w:color="000000"/>
            </w:tcBorders>
          </w:tcPr>
          <w:p w14:paraId="269225D5" w14:textId="6AD10282" w:rsidR="00625D97" w:rsidRPr="00956052" w:rsidRDefault="00A2298F" w:rsidP="00625D97">
            <w:pPr>
              <w:spacing w:before="120" w:after="120" w:line="269" w:lineRule="auto"/>
              <w:jc w:val="both"/>
              <w:rPr>
                <w:rFonts w:asciiTheme="minorHAnsi" w:eastAsiaTheme="minorHAnsi" w:hAnsiTheme="minorHAnsi" w:cstheme="minorHAnsi"/>
                <w:i/>
                <w:iCs/>
                <w:lang w:val="en-US"/>
              </w:rPr>
            </w:pPr>
            <w:r w:rsidRPr="00956052">
              <w:rPr>
                <w:rFonts w:asciiTheme="minorHAnsi" w:hAnsiTheme="minorHAnsi" w:cstheme="minorHAnsi"/>
                <w:b/>
              </w:rPr>
              <w:t xml:space="preserve">Concluding remarks </w:t>
            </w:r>
            <w:r w:rsidRPr="00956052">
              <w:rPr>
                <w:rFonts w:asciiTheme="minorHAnsi" w:hAnsiTheme="minorHAnsi" w:cstheme="minorHAnsi"/>
                <w:bCs/>
              </w:rPr>
              <w:t>by Neil Cole (Executive Secretary, CABRI)</w:t>
            </w:r>
          </w:p>
        </w:tc>
      </w:tr>
      <w:bookmarkEnd w:id="1"/>
    </w:tbl>
    <w:p w14:paraId="6AF0F858" w14:textId="77777777" w:rsidR="002C7B6E" w:rsidRDefault="002C7B6E" w:rsidP="002C7B6E"/>
    <w:bookmarkEnd w:id="0"/>
    <w:bookmarkEnd w:id="4"/>
    <w:p w14:paraId="759FE04F" w14:textId="77777777" w:rsidR="0087680D" w:rsidRDefault="005757F2"/>
    <w:sectPr w:rsidR="0087680D" w:rsidSect="00E10572">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BA90" w14:textId="77777777" w:rsidR="005757F2" w:rsidRDefault="005757F2" w:rsidP="002C7B6E">
      <w:r>
        <w:separator/>
      </w:r>
    </w:p>
  </w:endnote>
  <w:endnote w:type="continuationSeparator" w:id="0">
    <w:p w14:paraId="2A51C7F5" w14:textId="77777777" w:rsidR="005757F2" w:rsidRDefault="005757F2" w:rsidP="002C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1F9" w14:textId="0A0EA700" w:rsidR="000268B7" w:rsidRPr="00A215FD" w:rsidRDefault="000268B7" w:rsidP="007E6A61">
    <w:pPr>
      <w:pStyle w:val="Footer"/>
      <w:rPr>
        <w:rFonts w:asciiTheme="minorHAnsi" w:hAnsiTheme="minorHAnsi" w:cstheme="minorHAnsi"/>
      </w:rPr>
    </w:pPr>
  </w:p>
  <w:p w14:paraId="78C76A2E" w14:textId="77777777" w:rsidR="000268B7" w:rsidRDefault="0002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DCC3" w14:textId="77777777" w:rsidR="005757F2" w:rsidRDefault="005757F2" w:rsidP="002C7B6E">
      <w:r>
        <w:separator/>
      </w:r>
    </w:p>
  </w:footnote>
  <w:footnote w:type="continuationSeparator" w:id="0">
    <w:p w14:paraId="4B5D45C8" w14:textId="77777777" w:rsidR="005757F2" w:rsidRDefault="005757F2" w:rsidP="002C7B6E">
      <w:r>
        <w:continuationSeparator/>
      </w:r>
    </w:p>
  </w:footnote>
  <w:footnote w:id="1">
    <w:p w14:paraId="6A2B8799" w14:textId="77777777" w:rsidR="00625D97" w:rsidRPr="00361163" w:rsidRDefault="00625D97" w:rsidP="002C7B6E">
      <w:pPr>
        <w:pStyle w:val="FootnoteText"/>
        <w:rPr>
          <w:rFonts w:asciiTheme="minorHAnsi" w:hAnsiTheme="minorHAnsi" w:cstheme="minorHAnsi"/>
          <w:lang w:val="en-US"/>
        </w:rPr>
      </w:pPr>
      <w:r w:rsidRPr="00361163">
        <w:rPr>
          <w:rStyle w:val="FootnoteReference"/>
          <w:rFonts w:asciiTheme="minorHAnsi" w:hAnsiTheme="minorHAnsi" w:cstheme="minorHAnsi"/>
        </w:rPr>
        <w:footnoteRef/>
      </w:r>
      <w:r w:rsidRPr="00361163">
        <w:rPr>
          <w:rFonts w:asciiTheme="minorHAnsi" w:hAnsiTheme="minorHAnsi" w:cstheme="minorHAnsi"/>
        </w:rPr>
        <w:t xml:space="preserve"> </w:t>
      </w:r>
      <w:hyperlink r:id="rId1" w:history="1">
        <w:r w:rsidRPr="001F1666">
          <w:rPr>
            <w:rStyle w:val="Hyperlink"/>
            <w:rFonts w:asciiTheme="minorHAnsi" w:hAnsiTheme="minorHAnsi" w:cstheme="minorHAnsi"/>
            <w:spacing w:val="3"/>
            <w:sz w:val="18"/>
            <w:szCs w:val="18"/>
            <w:shd w:val="clear" w:color="auto" w:fill="FFFFFF"/>
          </w:rPr>
          <w:t>https://reliefweb.int/report/world/remarks-world-bank-group-president-david-malpass-virtual-meeting-africa-covid-19</w:t>
        </w:r>
      </w:hyperlink>
    </w:p>
  </w:footnote>
  <w:footnote w:id="2">
    <w:p w14:paraId="22FDDBA4" w14:textId="77777777" w:rsidR="00625D97" w:rsidRPr="001F1666" w:rsidRDefault="00625D97" w:rsidP="002C7B6E">
      <w:pPr>
        <w:pStyle w:val="FootnoteText"/>
        <w:rPr>
          <w:rFonts w:asciiTheme="minorHAnsi" w:hAnsiTheme="minorHAnsi" w:cstheme="minorHAnsi"/>
          <w:sz w:val="18"/>
          <w:szCs w:val="18"/>
          <w:lang w:val="en-US"/>
        </w:rPr>
      </w:pPr>
      <w:r>
        <w:rPr>
          <w:rStyle w:val="FootnoteReference"/>
        </w:rPr>
        <w:footnoteRef/>
      </w:r>
      <w:r>
        <w:t xml:space="preserve"> </w:t>
      </w:r>
      <w:hyperlink r:id="rId2" w:history="1">
        <w:r w:rsidRPr="001F1666">
          <w:rPr>
            <w:rStyle w:val="Hyperlink"/>
            <w:rFonts w:asciiTheme="minorHAnsi" w:eastAsiaTheme="minorHAnsi" w:hAnsiTheme="minorHAnsi" w:cstheme="minorHAnsi"/>
            <w:bCs/>
            <w:sz w:val="18"/>
            <w:szCs w:val="18"/>
            <w:lang w:val="en-US"/>
          </w:rPr>
          <w:t>https://www.who.int/news/item/18-12-2020-covax-announces-additional-deals-to-access-promising-covid-19-vaccine-candidates-plans-global-rollout-starting-q1-2021</w:t>
        </w:r>
      </w:hyperlink>
      <w:r w:rsidRPr="001F1666">
        <w:rPr>
          <w:rFonts w:asciiTheme="minorHAnsi" w:eastAsiaTheme="minorHAnsi" w:hAnsiTheme="minorHAnsi" w:cstheme="minorHAnsi"/>
          <w:bCs/>
          <w:sz w:val="18"/>
          <w:szCs w:val="18"/>
          <w:lang w:val="en-US"/>
        </w:rPr>
        <w:t xml:space="preserve"> </w:t>
      </w:r>
    </w:p>
  </w:footnote>
  <w:footnote w:id="3">
    <w:p w14:paraId="7FDFDAFF" w14:textId="77777777" w:rsidR="00625D97" w:rsidRPr="00181C5B" w:rsidRDefault="00625D97" w:rsidP="002C7B6E">
      <w:pPr>
        <w:pStyle w:val="FootnoteText"/>
        <w:rPr>
          <w:lang w:val="en-US"/>
        </w:rPr>
      </w:pPr>
      <w:r w:rsidRPr="001F1666">
        <w:rPr>
          <w:rStyle w:val="FootnoteReference"/>
          <w:rFonts w:asciiTheme="minorHAnsi" w:hAnsiTheme="minorHAnsi" w:cstheme="minorHAnsi"/>
          <w:sz w:val="18"/>
          <w:szCs w:val="18"/>
        </w:rPr>
        <w:footnoteRef/>
      </w:r>
      <w:r w:rsidRPr="001F1666">
        <w:rPr>
          <w:rFonts w:asciiTheme="minorHAnsi" w:hAnsiTheme="minorHAnsi" w:cstheme="minorHAnsi"/>
          <w:sz w:val="18"/>
          <w:szCs w:val="18"/>
        </w:rPr>
        <w:t xml:space="preserve"> </w:t>
      </w:r>
      <w:hyperlink r:id="rId3" w:history="1">
        <w:r w:rsidRPr="001F1666">
          <w:rPr>
            <w:rStyle w:val="Hyperlink"/>
            <w:rFonts w:asciiTheme="minorHAnsi" w:eastAsiaTheme="minorHAnsi" w:hAnsiTheme="minorHAnsi" w:cstheme="minorHAnsi"/>
            <w:bCs/>
            <w:sz w:val="18"/>
            <w:szCs w:val="18"/>
            <w:lang w:val="en-US"/>
          </w:rPr>
          <w:t>https://news.un.org/en/story/2020/11/1078642</w:t>
        </w:r>
      </w:hyperlink>
      <w:r w:rsidRPr="001F1666">
        <w:rPr>
          <w:rFonts w:asciiTheme="minorHAnsi" w:eastAsiaTheme="minorHAnsi" w:hAnsiTheme="minorHAnsi" w:cstheme="minorHAnsi"/>
          <w:bCs/>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387C"/>
    <w:multiLevelType w:val="hybridMultilevel"/>
    <w:tmpl w:val="6C2EC2F0"/>
    <w:lvl w:ilvl="0" w:tplc="D1E6E50A">
      <w:numFmt w:val="bullet"/>
      <w:lvlText w:val="-"/>
      <w:lvlJc w:val="left"/>
      <w:pPr>
        <w:ind w:left="720" w:hanging="360"/>
      </w:pPr>
      <w:rPr>
        <w:rFonts w:ascii="Times New Roman" w:eastAsia="PMingLiU"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6E"/>
    <w:rsid w:val="00010101"/>
    <w:rsid w:val="000117F8"/>
    <w:rsid w:val="000268B7"/>
    <w:rsid w:val="00073388"/>
    <w:rsid w:val="000C0888"/>
    <w:rsid w:val="000D171B"/>
    <w:rsid w:val="001037D9"/>
    <w:rsid w:val="0010582B"/>
    <w:rsid w:val="00125539"/>
    <w:rsid w:val="001329EA"/>
    <w:rsid w:val="00164105"/>
    <w:rsid w:val="0019435F"/>
    <w:rsid w:val="001C5201"/>
    <w:rsid w:val="001F1666"/>
    <w:rsid w:val="00206124"/>
    <w:rsid w:val="00246AF1"/>
    <w:rsid w:val="00291A29"/>
    <w:rsid w:val="002B0A1E"/>
    <w:rsid w:val="002C107B"/>
    <w:rsid w:val="002C2526"/>
    <w:rsid w:val="002C6A09"/>
    <w:rsid w:val="002C7B6E"/>
    <w:rsid w:val="002D4844"/>
    <w:rsid w:val="00305210"/>
    <w:rsid w:val="00334CEF"/>
    <w:rsid w:val="00340581"/>
    <w:rsid w:val="00341195"/>
    <w:rsid w:val="00396A7E"/>
    <w:rsid w:val="003C2582"/>
    <w:rsid w:val="003E3786"/>
    <w:rsid w:val="003E7DF9"/>
    <w:rsid w:val="00455D9D"/>
    <w:rsid w:val="00497421"/>
    <w:rsid w:val="004D155D"/>
    <w:rsid w:val="005757F2"/>
    <w:rsid w:val="005918D3"/>
    <w:rsid w:val="005C75E8"/>
    <w:rsid w:val="005D63C6"/>
    <w:rsid w:val="005E14DE"/>
    <w:rsid w:val="00625D97"/>
    <w:rsid w:val="00681890"/>
    <w:rsid w:val="00693B27"/>
    <w:rsid w:val="006C0A9B"/>
    <w:rsid w:val="006F2B1C"/>
    <w:rsid w:val="00702B93"/>
    <w:rsid w:val="00777955"/>
    <w:rsid w:val="00782CB1"/>
    <w:rsid w:val="0078756F"/>
    <w:rsid w:val="00794488"/>
    <w:rsid w:val="007E6A61"/>
    <w:rsid w:val="00801797"/>
    <w:rsid w:val="00815A47"/>
    <w:rsid w:val="00853AF2"/>
    <w:rsid w:val="00860241"/>
    <w:rsid w:val="00877674"/>
    <w:rsid w:val="0089014F"/>
    <w:rsid w:val="008973E7"/>
    <w:rsid w:val="008E4A66"/>
    <w:rsid w:val="00956052"/>
    <w:rsid w:val="009847FF"/>
    <w:rsid w:val="009B7D11"/>
    <w:rsid w:val="009C537F"/>
    <w:rsid w:val="00A215FD"/>
    <w:rsid w:val="00A2298F"/>
    <w:rsid w:val="00A31D50"/>
    <w:rsid w:val="00A72BF5"/>
    <w:rsid w:val="00AA2E96"/>
    <w:rsid w:val="00AA7D28"/>
    <w:rsid w:val="00AC7FED"/>
    <w:rsid w:val="00AD2870"/>
    <w:rsid w:val="00B36BAD"/>
    <w:rsid w:val="00B62233"/>
    <w:rsid w:val="00B940F6"/>
    <w:rsid w:val="00BB66BD"/>
    <w:rsid w:val="00BC28DB"/>
    <w:rsid w:val="00BC7008"/>
    <w:rsid w:val="00C1065A"/>
    <w:rsid w:val="00C14C15"/>
    <w:rsid w:val="00C1649A"/>
    <w:rsid w:val="00C17DF0"/>
    <w:rsid w:val="00C369ED"/>
    <w:rsid w:val="00C52A39"/>
    <w:rsid w:val="00C92225"/>
    <w:rsid w:val="00C93069"/>
    <w:rsid w:val="00D25187"/>
    <w:rsid w:val="00D5186F"/>
    <w:rsid w:val="00D95B77"/>
    <w:rsid w:val="00DA1E5F"/>
    <w:rsid w:val="00DB7965"/>
    <w:rsid w:val="00DC712B"/>
    <w:rsid w:val="00DF76DE"/>
    <w:rsid w:val="00E20D05"/>
    <w:rsid w:val="00E35861"/>
    <w:rsid w:val="00E640C7"/>
    <w:rsid w:val="00E86750"/>
    <w:rsid w:val="00EA52FC"/>
    <w:rsid w:val="00ED4BE2"/>
    <w:rsid w:val="00F13ED8"/>
    <w:rsid w:val="00F42689"/>
    <w:rsid w:val="00F504A3"/>
    <w:rsid w:val="00F74EE1"/>
    <w:rsid w:val="00F82D16"/>
    <w:rsid w:val="00FA2680"/>
    <w:rsid w:val="00FA48BE"/>
    <w:rsid w:val="00FB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B2153"/>
  <w15:chartTrackingRefBased/>
  <w15:docId w15:val="{D0D2FD9D-84E5-441F-818D-5B95F88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7B6E"/>
    <w:pPr>
      <w:spacing w:after="0" w:line="240" w:lineRule="auto"/>
    </w:pPr>
    <w:rPr>
      <w:rFonts w:ascii="Times New Roman" w:eastAsia="PMingLiU"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B6E"/>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textChar">
    <w:name w:val="Box text Char"/>
    <w:link w:val="Boxtext"/>
    <w:locked/>
    <w:rsid w:val="002C7B6E"/>
    <w:rPr>
      <w:rFonts w:ascii="Arial" w:hAnsi="Arial" w:cs="Arial"/>
    </w:rPr>
  </w:style>
  <w:style w:type="paragraph" w:customStyle="1" w:styleId="Boxtext">
    <w:name w:val="Box text"/>
    <w:basedOn w:val="Normal"/>
    <w:link w:val="BoxtextChar"/>
    <w:rsid w:val="002C7B6E"/>
    <w:pPr>
      <w:keepNext/>
      <w:spacing w:after="200"/>
      <w:jc w:val="both"/>
    </w:pPr>
    <w:rPr>
      <w:rFonts w:ascii="Arial" w:eastAsiaTheme="minorHAnsi" w:hAnsi="Arial" w:cs="Arial"/>
      <w:lang w:val="en-US"/>
    </w:rPr>
  </w:style>
  <w:style w:type="table" w:customStyle="1" w:styleId="TableGrid0">
    <w:name w:val="TableGrid"/>
    <w:rsid w:val="002C7B6E"/>
    <w:pPr>
      <w:spacing w:after="0" w:line="240" w:lineRule="auto"/>
    </w:pPr>
    <w:rPr>
      <w:rFonts w:eastAsiaTheme="minorEastAsia"/>
      <w:lang w:val="en-ZA"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2C7B6E"/>
    <w:pPr>
      <w:tabs>
        <w:tab w:val="center" w:pos="4513"/>
        <w:tab w:val="right" w:pos="9026"/>
      </w:tabs>
    </w:pPr>
  </w:style>
  <w:style w:type="character" w:customStyle="1" w:styleId="HeaderChar">
    <w:name w:val="Header Char"/>
    <w:basedOn w:val="DefaultParagraphFont"/>
    <w:link w:val="Header"/>
    <w:uiPriority w:val="99"/>
    <w:rsid w:val="002C7B6E"/>
    <w:rPr>
      <w:rFonts w:ascii="Times New Roman" w:eastAsia="PMingLiU" w:hAnsi="Times New Roman" w:cs="Times New Roman"/>
      <w:lang w:val="en-GB"/>
    </w:rPr>
  </w:style>
  <w:style w:type="character" w:styleId="Hyperlink">
    <w:name w:val="Hyperlink"/>
    <w:basedOn w:val="DefaultParagraphFont"/>
    <w:uiPriority w:val="99"/>
    <w:unhideWhenUsed/>
    <w:rsid w:val="002C7B6E"/>
    <w:rPr>
      <w:color w:val="0000FF"/>
      <w:u w:val="single"/>
    </w:rPr>
  </w:style>
  <w:style w:type="character" w:styleId="CommentReference">
    <w:name w:val="annotation reference"/>
    <w:basedOn w:val="DefaultParagraphFont"/>
    <w:uiPriority w:val="99"/>
    <w:semiHidden/>
    <w:unhideWhenUsed/>
    <w:rsid w:val="002C7B6E"/>
    <w:rPr>
      <w:sz w:val="16"/>
      <w:szCs w:val="16"/>
    </w:rPr>
  </w:style>
  <w:style w:type="paragraph" w:styleId="CommentText">
    <w:name w:val="annotation text"/>
    <w:basedOn w:val="Normal"/>
    <w:link w:val="CommentTextChar"/>
    <w:uiPriority w:val="99"/>
    <w:semiHidden/>
    <w:unhideWhenUsed/>
    <w:rsid w:val="002C7B6E"/>
    <w:pPr>
      <w:spacing w:after="160"/>
    </w:pPr>
    <w:rPr>
      <w:rFonts w:asciiTheme="minorHAnsi" w:eastAsiaTheme="minorHAnsi" w:hAnsiTheme="minorHAnsi" w:cstheme="minorBidi"/>
      <w:sz w:val="20"/>
      <w:szCs w:val="20"/>
      <w:lang w:val="en-ZA"/>
    </w:rPr>
  </w:style>
  <w:style w:type="character" w:customStyle="1" w:styleId="CommentTextChar">
    <w:name w:val="Comment Text Char"/>
    <w:basedOn w:val="DefaultParagraphFont"/>
    <w:link w:val="CommentText"/>
    <w:uiPriority w:val="99"/>
    <w:semiHidden/>
    <w:rsid w:val="002C7B6E"/>
    <w:rPr>
      <w:sz w:val="20"/>
      <w:szCs w:val="20"/>
      <w:lang w:val="en-ZA"/>
    </w:rPr>
  </w:style>
  <w:style w:type="paragraph" w:styleId="FootnoteText">
    <w:name w:val="footnote text"/>
    <w:basedOn w:val="Normal"/>
    <w:link w:val="FootnoteTextChar"/>
    <w:uiPriority w:val="99"/>
    <w:semiHidden/>
    <w:unhideWhenUsed/>
    <w:rsid w:val="002C7B6E"/>
    <w:rPr>
      <w:sz w:val="20"/>
      <w:szCs w:val="20"/>
    </w:rPr>
  </w:style>
  <w:style w:type="character" w:customStyle="1" w:styleId="FootnoteTextChar">
    <w:name w:val="Footnote Text Char"/>
    <w:basedOn w:val="DefaultParagraphFont"/>
    <w:link w:val="FootnoteText"/>
    <w:uiPriority w:val="99"/>
    <w:semiHidden/>
    <w:rsid w:val="002C7B6E"/>
    <w:rPr>
      <w:rFonts w:ascii="Times New Roman" w:eastAsia="PMingLiU" w:hAnsi="Times New Roman" w:cs="Times New Roman"/>
      <w:sz w:val="20"/>
      <w:szCs w:val="20"/>
      <w:lang w:val="en-GB"/>
    </w:rPr>
  </w:style>
  <w:style w:type="character" w:styleId="FootnoteReference">
    <w:name w:val="footnote reference"/>
    <w:basedOn w:val="DefaultParagraphFont"/>
    <w:uiPriority w:val="99"/>
    <w:semiHidden/>
    <w:unhideWhenUsed/>
    <w:rsid w:val="002C7B6E"/>
    <w:rPr>
      <w:vertAlign w:val="superscript"/>
    </w:rPr>
  </w:style>
  <w:style w:type="paragraph" w:customStyle="1" w:styleId="Default">
    <w:name w:val="Default"/>
    <w:rsid w:val="002C7B6E"/>
    <w:pPr>
      <w:autoSpaceDE w:val="0"/>
      <w:autoSpaceDN w:val="0"/>
      <w:adjustRightInd w:val="0"/>
      <w:spacing w:after="0" w:line="240" w:lineRule="auto"/>
    </w:pPr>
    <w:rPr>
      <w:rFonts w:ascii="Calibri" w:hAnsi="Calibri" w:cs="Calibri"/>
      <w:color w:val="000000"/>
      <w:sz w:val="24"/>
      <w:szCs w:val="24"/>
      <w:lang w:val="en-ZA"/>
    </w:rPr>
  </w:style>
  <w:style w:type="paragraph" w:styleId="ListParagraph">
    <w:name w:val="List Paragraph"/>
    <w:basedOn w:val="Normal"/>
    <w:uiPriority w:val="34"/>
    <w:qFormat/>
    <w:rsid w:val="002C7B6E"/>
    <w:pPr>
      <w:spacing w:after="160" w:line="259" w:lineRule="auto"/>
      <w:ind w:left="720"/>
      <w:contextualSpacing/>
    </w:pPr>
    <w:rPr>
      <w:rFonts w:asciiTheme="minorHAnsi" w:eastAsiaTheme="minorHAnsi" w:hAnsiTheme="minorHAnsi" w:cstheme="minorBidi"/>
      <w:lang w:val="en-US"/>
    </w:rPr>
  </w:style>
  <w:style w:type="paragraph" w:styleId="Footer">
    <w:name w:val="footer"/>
    <w:basedOn w:val="Normal"/>
    <w:link w:val="FooterChar"/>
    <w:uiPriority w:val="99"/>
    <w:unhideWhenUsed/>
    <w:rsid w:val="003E7DF9"/>
    <w:pPr>
      <w:tabs>
        <w:tab w:val="center" w:pos="4513"/>
        <w:tab w:val="right" w:pos="9026"/>
      </w:tabs>
    </w:pPr>
  </w:style>
  <w:style w:type="character" w:customStyle="1" w:styleId="FooterChar">
    <w:name w:val="Footer Char"/>
    <w:basedOn w:val="DefaultParagraphFont"/>
    <w:link w:val="Footer"/>
    <w:uiPriority w:val="99"/>
    <w:rsid w:val="003E7DF9"/>
    <w:rPr>
      <w:rFonts w:ascii="Times New Roman" w:eastAsia="PMingLiU"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87241">
      <w:bodyDiv w:val="1"/>
      <w:marLeft w:val="0"/>
      <w:marRight w:val="0"/>
      <w:marTop w:val="0"/>
      <w:marBottom w:val="0"/>
      <w:divBdr>
        <w:top w:val="none" w:sz="0" w:space="0" w:color="auto"/>
        <w:left w:val="none" w:sz="0" w:space="0" w:color="auto"/>
        <w:bottom w:val="none" w:sz="0" w:space="0" w:color="auto"/>
        <w:right w:val="none" w:sz="0" w:space="0" w:color="auto"/>
      </w:divBdr>
    </w:div>
    <w:div w:id="379281684">
      <w:bodyDiv w:val="1"/>
      <w:marLeft w:val="0"/>
      <w:marRight w:val="0"/>
      <w:marTop w:val="0"/>
      <w:marBottom w:val="0"/>
      <w:divBdr>
        <w:top w:val="none" w:sz="0" w:space="0" w:color="auto"/>
        <w:left w:val="none" w:sz="0" w:space="0" w:color="auto"/>
        <w:bottom w:val="none" w:sz="0" w:space="0" w:color="auto"/>
        <w:right w:val="none" w:sz="0" w:space="0" w:color="auto"/>
      </w:divBdr>
    </w:div>
    <w:div w:id="1443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story/2020/11/1078642" TargetMode="External"/><Relationship Id="rId2" Type="http://schemas.openxmlformats.org/officeDocument/2006/relationships/hyperlink" Target="https://www.who.int/news/item/18-12-2020-covax-announces-additional-deals-to-access-promising-covid-19-vaccine-candidates-plans-global-rollout-starting-q1-2021" TargetMode="External"/><Relationship Id="rId1" Type="http://schemas.openxmlformats.org/officeDocument/2006/relationships/hyperlink" Target="https://reliefweb.int/report/world/remarks-world-bank-group-president-david-malpass-virtual-meeting-afric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AF32261145F409836FCA14A350740" ma:contentTypeVersion="12" ma:contentTypeDescription="Create a new document." ma:contentTypeScope="" ma:versionID="e22ecd31db818cb3feea6b60bf4a1604">
  <xsd:schema xmlns:xsd="http://www.w3.org/2001/XMLSchema" xmlns:xs="http://www.w3.org/2001/XMLSchema" xmlns:p="http://schemas.microsoft.com/office/2006/metadata/properties" xmlns:ns2="1b4d2e45-8e50-4808-be92-179850164968" xmlns:ns3="a4907018-feab-4701-b416-2003e651155e" targetNamespace="http://schemas.microsoft.com/office/2006/metadata/properties" ma:root="true" ma:fieldsID="b0e73f60fe82854bf24afdea208ecaf5" ns2:_="" ns3:_="">
    <xsd:import namespace="1b4d2e45-8e50-4808-be92-179850164968"/>
    <xsd:import namespace="a4907018-feab-4701-b416-2003e6511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2e45-8e50-4808-be92-179850164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07018-feab-4701-b416-2003e65115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DC536-898D-4932-BE71-2AB8E6B1E2EC}">
  <ds:schemaRefs>
    <ds:schemaRef ds:uri="http://schemas.openxmlformats.org/officeDocument/2006/bibliography"/>
  </ds:schemaRefs>
</ds:datastoreItem>
</file>

<file path=customXml/itemProps2.xml><?xml version="1.0" encoding="utf-8"?>
<ds:datastoreItem xmlns:ds="http://schemas.openxmlformats.org/officeDocument/2006/customXml" ds:itemID="{6B135FAE-6027-4950-8BDC-5B904CA91285}">
  <ds:schemaRefs>
    <ds:schemaRef ds:uri="http://schemas.microsoft.com/sharepoint/v3/contenttype/forms"/>
  </ds:schemaRefs>
</ds:datastoreItem>
</file>

<file path=customXml/itemProps3.xml><?xml version="1.0" encoding="utf-8"?>
<ds:datastoreItem xmlns:ds="http://schemas.openxmlformats.org/officeDocument/2006/customXml" ds:itemID="{FC285526-6843-46D6-B486-0975B4E3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d2e45-8e50-4808-be92-179850164968"/>
    <ds:schemaRef ds:uri="a4907018-feab-4701-b416-2003e6511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100FC-1904-4FA8-9AE9-5110B0F14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6651</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Serebro</dc:creator>
  <cp:keywords/>
  <dc:description/>
  <cp:lastModifiedBy>Danielle Serebro</cp:lastModifiedBy>
  <cp:revision>3</cp:revision>
  <cp:lastPrinted>2021-04-08T11:18:00Z</cp:lastPrinted>
  <dcterms:created xsi:type="dcterms:W3CDTF">2021-04-13T15:18:00Z</dcterms:created>
  <dcterms:modified xsi:type="dcterms:W3CDTF">2021-04-13T15:19:00Z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0x010100BA6AF32261145F409836FCA14A350740</vt:lpwstr>
  </property>
</Properties>
</file>